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3C" w:rsidRDefault="00D47D3C">
      <w:pPr>
        <w:pStyle w:val="Cabealho"/>
        <w:spacing w:after="240"/>
        <w:jc w:val="right"/>
      </w:pPr>
    </w:p>
    <w:tbl>
      <w:tblPr>
        <w:tblStyle w:val="Tabelacomgrade"/>
        <w:tblW w:w="10551" w:type="dxa"/>
        <w:jc w:val="center"/>
        <w:tblCellMar>
          <w:left w:w="-1" w:type="dxa"/>
        </w:tblCellMar>
        <w:tblLook w:val="04A0" w:firstRow="1" w:lastRow="0" w:firstColumn="1" w:lastColumn="0" w:noHBand="0" w:noVBand="1"/>
      </w:tblPr>
      <w:tblGrid>
        <w:gridCol w:w="5953"/>
        <w:gridCol w:w="3172"/>
        <w:gridCol w:w="688"/>
        <w:gridCol w:w="738"/>
      </w:tblGrid>
      <w:tr w:rsidR="00D47D3C" w:rsidRPr="00A07E05" w:rsidTr="001308C1">
        <w:trPr>
          <w:trHeight w:val="769"/>
          <w:jc w:val="center"/>
        </w:trPr>
        <w:tc>
          <w:tcPr>
            <w:tcW w:w="10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-1" w:type="dxa"/>
            </w:tcMar>
            <w:vAlign w:val="center"/>
          </w:tcPr>
          <w:p w:rsidR="00D47D3C" w:rsidRPr="00A07E05" w:rsidRDefault="00552714" w:rsidP="00E266A9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color w:val="auto"/>
                <w:sz w:val="20"/>
                <w:szCs w:val="20"/>
              </w:rPr>
              <w:t>CHECKLIST´S DE DOCUMENTOS PARA HABILITAÇÃO NO CRT</w:t>
            </w:r>
          </w:p>
          <w:p w:rsidR="00D47D3C" w:rsidRPr="00A07E05" w:rsidRDefault="00552714" w:rsidP="00E266A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color w:val="auto"/>
                <w:sz w:val="20"/>
                <w:szCs w:val="20"/>
              </w:rPr>
              <w:t>ENTES PÚBLICOS</w:t>
            </w:r>
          </w:p>
        </w:tc>
      </w:tr>
      <w:tr w:rsidR="00D47D3C" w:rsidRPr="00A07E05" w:rsidTr="001308C1">
        <w:trPr>
          <w:trHeight w:val="379"/>
          <w:jc w:val="center"/>
        </w:trPr>
        <w:tc>
          <w:tcPr>
            <w:tcW w:w="5953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D47D3C" w:rsidRPr="00A07E05" w:rsidRDefault="00552714" w:rsidP="00E266A9">
            <w:pPr>
              <w:pStyle w:val="PargrafodaLista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DOCUMENTOS INSTITUCIONAIS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D47D3C" w:rsidRPr="00A07E05" w:rsidRDefault="00552714" w:rsidP="00E266A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FUNDAMENTO LEGAL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D47D3C" w:rsidRPr="00A07E05" w:rsidRDefault="00552714" w:rsidP="00E266A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D47D3C" w:rsidRPr="00A07E05" w:rsidRDefault="00552714" w:rsidP="00E266A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</w:tr>
      <w:tr w:rsidR="00D47D3C" w:rsidRPr="00A07E05" w:rsidTr="001308C1">
        <w:trPr>
          <w:trHeight w:val="379"/>
          <w:jc w:val="center"/>
        </w:trPr>
        <w:tc>
          <w:tcPr>
            <w:tcW w:w="5953" w:type="dxa"/>
            <w:vMerge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D47D3C" w:rsidRPr="00A07E05" w:rsidRDefault="00D47D3C" w:rsidP="00E266A9">
            <w:pPr>
              <w:pStyle w:val="PargrafodaLista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  <w:shd w:val="clear" w:color="auto" w:fill="C6D9F1" w:themeFill="text2" w:themeFillTint="33"/>
            <w:tcMar>
              <w:left w:w="88" w:type="dxa"/>
            </w:tcMar>
          </w:tcPr>
          <w:p w:rsidR="00D47D3C" w:rsidRPr="00A07E05" w:rsidRDefault="00D47D3C" w:rsidP="00E266A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D47D3C" w:rsidRPr="00A07E05" w:rsidRDefault="00D47D3C" w:rsidP="00E266A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D47D3C" w:rsidRPr="00A07E05" w:rsidRDefault="00D47D3C" w:rsidP="00E266A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7D3C" w:rsidRPr="00A07E05" w:rsidTr="001308C1">
        <w:trPr>
          <w:trHeight w:val="771"/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D47D3C" w:rsidRPr="00A07E05" w:rsidRDefault="00552714" w:rsidP="00E266A9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Certidão de Regularidade Fiscal da Secretaria da Fazenda Estadual de Pernambuco;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D47D3C" w:rsidRPr="00A07E05" w:rsidRDefault="00552714" w:rsidP="00B5452E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 w:rsidR="00B133F9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>°, I</w:t>
            </w:r>
            <w:r w:rsidR="00B133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 w:rsidR="00B133F9"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9047E0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="002E307B">
              <w:rPr>
                <w:rFonts w:ascii="Arial" w:hAnsi="Arial" w:cs="Arial"/>
                <w:b/>
                <w:sz w:val="20"/>
                <w:szCs w:val="20"/>
              </w:rPr>
              <w:t xml:space="preserve"> Art. 25° </w:t>
            </w:r>
            <w:r w:rsidR="002E307B" w:rsidRPr="009047E0">
              <w:rPr>
                <w:rFonts w:ascii="Arial" w:hAnsi="Arial" w:cs="Arial"/>
                <w:b/>
                <w:sz w:val="20"/>
                <w:szCs w:val="20"/>
              </w:rPr>
              <w:t xml:space="preserve">§ 1°, </w:t>
            </w:r>
            <w:r w:rsidR="009047E0">
              <w:rPr>
                <w:rFonts w:ascii="Arial" w:hAnsi="Arial" w:cs="Arial"/>
                <w:b/>
                <w:sz w:val="20"/>
                <w:szCs w:val="20"/>
              </w:rPr>
              <w:t>IV, “a” da LC 101/00.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D47D3C" w:rsidRPr="00A07E05" w:rsidRDefault="00D47D3C" w:rsidP="00E266A9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D47D3C" w:rsidRPr="00A07E05" w:rsidRDefault="00D47D3C" w:rsidP="00E266A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CCE" w:rsidRPr="00A07E05" w:rsidTr="001308C1">
        <w:trPr>
          <w:trHeight w:val="771"/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0C1CCE" w:rsidRPr="000C1CCE" w:rsidRDefault="000C1CCE" w:rsidP="00E266A9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18"/>
                <w:szCs w:val="18"/>
              </w:rPr>
              <w:t> </w:t>
            </w:r>
            <w:r w:rsidRPr="00B735B8">
              <w:rPr>
                <w:rFonts w:ascii="Arial" w:hAnsi="Arial" w:cs="Arial"/>
                <w:sz w:val="20"/>
                <w:szCs w:val="20"/>
              </w:rPr>
              <w:t>Certidão Negativa/Narrativa de Débitos Fiscais fornecida pela Secretaria da Fazenda do Estado de Pernambuco;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0C1CCE" w:rsidRPr="00A07E05" w:rsidRDefault="00B133F9" w:rsidP="00B5452E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B503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03DC">
              <w:rPr>
                <w:rFonts w:ascii="Arial" w:hAnsi="Arial" w:cs="Arial"/>
                <w:b/>
                <w:sz w:val="20"/>
                <w:szCs w:val="20"/>
              </w:rPr>
              <w:t xml:space="preserve">- Art. 25° </w:t>
            </w:r>
            <w:r w:rsidR="00B503DC" w:rsidRPr="009047E0">
              <w:rPr>
                <w:rFonts w:ascii="Arial" w:hAnsi="Arial" w:cs="Arial"/>
                <w:b/>
                <w:sz w:val="20"/>
                <w:szCs w:val="20"/>
              </w:rPr>
              <w:t xml:space="preserve">§ 1°, </w:t>
            </w:r>
            <w:r w:rsidR="00B503DC">
              <w:rPr>
                <w:rFonts w:ascii="Arial" w:hAnsi="Arial" w:cs="Arial"/>
                <w:b/>
                <w:sz w:val="20"/>
                <w:szCs w:val="20"/>
              </w:rPr>
              <w:t>IV, “a” da LC 101/00.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0C1CCE" w:rsidRPr="00A07E05" w:rsidRDefault="000C1CCE" w:rsidP="00E266A9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0C1CCE" w:rsidRPr="00A07E05" w:rsidRDefault="000C1CCE" w:rsidP="00E266A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D3C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D47D3C" w:rsidRPr="00A07E05" w:rsidRDefault="00552714" w:rsidP="00E266A9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Certidão de Regularidade de Prestação de Contas à SCGE;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D47D3C" w:rsidRPr="00A07E05" w:rsidRDefault="00B133F9" w:rsidP="00B5452E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B5452E">
              <w:rPr>
                <w:rFonts w:ascii="Arial" w:hAnsi="Arial" w:cs="Arial"/>
                <w:b/>
                <w:sz w:val="20"/>
                <w:szCs w:val="20"/>
              </w:rPr>
              <w:t xml:space="preserve">- Art. 25°, </w:t>
            </w:r>
            <w:r w:rsidR="00B5452E" w:rsidRPr="009047E0">
              <w:rPr>
                <w:rFonts w:ascii="Arial" w:hAnsi="Arial" w:cs="Arial"/>
                <w:b/>
                <w:sz w:val="20"/>
                <w:szCs w:val="20"/>
              </w:rPr>
              <w:t xml:space="preserve">§ 1°, </w:t>
            </w:r>
            <w:r w:rsidR="00B5452E">
              <w:rPr>
                <w:rFonts w:ascii="Arial" w:hAnsi="Arial" w:cs="Arial"/>
                <w:b/>
                <w:sz w:val="20"/>
                <w:szCs w:val="20"/>
              </w:rPr>
              <w:t>IV, “b” da LC 101/00.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D47D3C" w:rsidRPr="00A07E05" w:rsidRDefault="00D47D3C" w:rsidP="00E266A9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D47D3C" w:rsidRPr="00A07E05" w:rsidRDefault="00D47D3C" w:rsidP="00E266A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3F9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B133F9" w:rsidRPr="00A07E05" w:rsidRDefault="00B133F9" w:rsidP="00E266A9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3F9">
              <w:rPr>
                <w:rFonts w:ascii="Arial" w:hAnsi="Arial" w:cs="Arial"/>
                <w:sz w:val="20"/>
                <w:szCs w:val="20"/>
              </w:rPr>
              <w:t>D</w:t>
            </w:r>
            <w:r w:rsidR="009A4085">
              <w:rPr>
                <w:rFonts w:ascii="Arial" w:hAnsi="Arial" w:cs="Arial"/>
                <w:sz w:val="20"/>
                <w:szCs w:val="20"/>
              </w:rPr>
              <w:t>eclaração de Existência de Área Gestora dos Recursos Recebidos por Transferência Voluntária do Estado</w:t>
            </w:r>
            <w:r w:rsidR="002643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3E2" w:rsidRPr="00A07E05">
              <w:rPr>
                <w:rFonts w:ascii="Arial" w:hAnsi="Arial" w:cs="Arial"/>
                <w:sz w:val="20"/>
                <w:szCs w:val="20"/>
              </w:rPr>
              <w:t>(*)</w:t>
            </w:r>
            <w:r w:rsidR="009A408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133F9" w:rsidRPr="00A07E05" w:rsidRDefault="009A4085" w:rsidP="00E266A9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>°, 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133F9" w:rsidRPr="00A07E05" w:rsidRDefault="00B133F9" w:rsidP="00E266A9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133F9" w:rsidRPr="00A07E05" w:rsidRDefault="00B133F9" w:rsidP="00E266A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D7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5F0BD7" w:rsidRPr="00B133F9" w:rsidRDefault="005F0BD7" w:rsidP="00E266A9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BD7">
              <w:rPr>
                <w:rFonts w:ascii="Arial" w:hAnsi="Arial" w:cs="Arial"/>
                <w:sz w:val="20"/>
                <w:szCs w:val="20"/>
              </w:rPr>
              <w:t>Encaminhament</w:t>
            </w:r>
            <w:r w:rsidR="00331D33">
              <w:rPr>
                <w:rFonts w:ascii="Arial" w:hAnsi="Arial" w:cs="Arial"/>
                <w:sz w:val="20"/>
                <w:szCs w:val="20"/>
              </w:rPr>
              <w:t>o da Matriz de Saldos Contábeis</w:t>
            </w:r>
            <w:r w:rsidR="003126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3E2" w:rsidRPr="00A07E05">
              <w:rPr>
                <w:rFonts w:ascii="Arial" w:hAnsi="Arial" w:cs="Arial"/>
                <w:sz w:val="20"/>
                <w:szCs w:val="20"/>
              </w:rPr>
              <w:t>(*)</w:t>
            </w:r>
            <w:r w:rsidR="00331D3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5F0BD7" w:rsidRPr="00A07E05" w:rsidRDefault="005F0BD7" w:rsidP="00B503DC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>da Portaria SCGE N°</w:t>
            </w:r>
            <w:r w:rsidR="00A60E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B503DC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B503DC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 w:rsidR="00B503DC">
              <w:rPr>
                <w:rFonts w:ascii="Arial" w:hAnsi="Arial" w:cs="Arial"/>
                <w:b/>
                <w:sz w:val="20"/>
                <w:szCs w:val="20"/>
              </w:rPr>
              <w:t>48</w:t>
            </w:r>
            <w:r w:rsidR="00B503DC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 w:rsidR="00B503DC" w:rsidRPr="009047E0">
              <w:rPr>
                <w:rFonts w:ascii="Arial" w:hAnsi="Arial" w:cs="Arial"/>
                <w:b/>
                <w:sz w:val="20"/>
                <w:szCs w:val="20"/>
              </w:rPr>
              <w:t xml:space="preserve">§ </w:t>
            </w:r>
            <w:r w:rsidR="00B503D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503DC" w:rsidRPr="009047E0">
              <w:rPr>
                <w:rFonts w:ascii="Arial" w:hAnsi="Arial" w:cs="Arial"/>
                <w:b/>
                <w:sz w:val="20"/>
                <w:szCs w:val="20"/>
              </w:rPr>
              <w:t>°</w:t>
            </w:r>
            <w:r w:rsidR="00B503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03DC">
              <w:rPr>
                <w:rFonts w:ascii="Arial" w:hAnsi="Arial" w:cs="Arial"/>
                <w:b/>
                <w:sz w:val="20"/>
                <w:szCs w:val="20"/>
              </w:rPr>
              <w:t>da LC 101/00.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5F0BD7" w:rsidRPr="00A07E05" w:rsidRDefault="005F0BD7" w:rsidP="00E266A9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5F0BD7" w:rsidRPr="00A07E05" w:rsidRDefault="005F0BD7" w:rsidP="00E266A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D7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5F0BD7" w:rsidRPr="005F0BD7" w:rsidRDefault="005F0BD7" w:rsidP="002643E2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Certidão de Regularidade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de P</w:t>
            </w:r>
            <w:r w:rsidRPr="005F0BD7">
              <w:rPr>
                <w:rFonts w:ascii="Arial" w:hAnsi="Arial" w:cs="Arial"/>
                <w:sz w:val="20"/>
                <w:szCs w:val="20"/>
              </w:rPr>
              <w:t xml:space="preserve">agamento de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0BD7">
              <w:rPr>
                <w:rFonts w:ascii="Arial" w:hAnsi="Arial" w:cs="Arial"/>
                <w:sz w:val="20"/>
                <w:szCs w:val="20"/>
              </w:rPr>
              <w:t xml:space="preserve">recatórios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5F0BD7">
              <w:rPr>
                <w:rFonts w:ascii="Arial" w:hAnsi="Arial" w:cs="Arial"/>
                <w:sz w:val="20"/>
                <w:szCs w:val="20"/>
              </w:rPr>
              <w:t>udiciais</w:t>
            </w:r>
            <w:r w:rsidR="002643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3E2" w:rsidRPr="00A07E05">
              <w:rPr>
                <w:rFonts w:ascii="Arial" w:hAnsi="Arial" w:cs="Arial"/>
                <w:sz w:val="20"/>
                <w:szCs w:val="20"/>
              </w:rPr>
              <w:t>(*)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2643E2" w:rsidRPr="00A07E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5F0BD7" w:rsidRPr="00A07E05" w:rsidRDefault="005F0BD7" w:rsidP="00E266A9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A60EA5">
              <w:rPr>
                <w:rFonts w:ascii="Arial" w:hAnsi="Arial" w:cs="Arial"/>
                <w:b/>
                <w:sz w:val="20"/>
                <w:szCs w:val="20"/>
              </w:rPr>
              <w:t>°</w:t>
            </w:r>
            <w:proofErr w:type="gramStart"/>
            <w:r w:rsidR="00A60EA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B503DC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="00A26D8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503DC" w:rsidRPr="00B503DC">
              <w:rPr>
                <w:rFonts w:ascii="Arial" w:hAnsi="Arial" w:cs="Arial"/>
                <w:b/>
                <w:sz w:val="20"/>
                <w:szCs w:val="20"/>
              </w:rPr>
              <w:t>rts</w:t>
            </w:r>
            <w:proofErr w:type="spellEnd"/>
            <w:r w:rsidR="00B503DC" w:rsidRPr="00B503DC">
              <w:rPr>
                <w:rFonts w:ascii="Arial" w:hAnsi="Arial" w:cs="Arial"/>
                <w:b/>
                <w:sz w:val="20"/>
                <w:szCs w:val="20"/>
              </w:rPr>
              <w:t>. 101 e 104 do Ato das Disposições Constitucionais Transitórias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5F0BD7" w:rsidRPr="00A07E05" w:rsidRDefault="005F0BD7" w:rsidP="00E266A9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5F0BD7" w:rsidRPr="00A07E05" w:rsidRDefault="005F0BD7" w:rsidP="00E266A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28F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81028F" w:rsidRDefault="0081028F" w:rsidP="002E6854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Relatório Re</w:t>
            </w:r>
            <w:r w:rsidR="002E6854">
              <w:rPr>
                <w:rFonts w:ascii="Arial" w:hAnsi="Arial" w:cs="Arial"/>
                <w:sz w:val="20"/>
                <w:szCs w:val="20"/>
              </w:rPr>
              <w:t>sumido de Execução Orçamentária</w:t>
            </w:r>
            <w:r w:rsidR="002E30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1D33" w:rsidRPr="002E307B">
              <w:rPr>
                <w:rFonts w:ascii="Arial" w:hAnsi="Arial" w:cs="Arial"/>
                <w:sz w:val="20"/>
                <w:szCs w:val="20"/>
              </w:rPr>
              <w:t>- (RREO referente ao 6° bimestre do exercício anterior)</w:t>
            </w:r>
            <w:r w:rsidR="002E685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735B8" w:rsidRPr="00B735B8" w:rsidRDefault="002E6854" w:rsidP="00FF6D96">
            <w:pPr>
              <w:pStyle w:val="PargrafodaLista"/>
              <w:spacing w:after="0" w:line="358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6854">
              <w:rPr>
                <w:rFonts w:ascii="Arial" w:hAnsi="Arial" w:cs="Arial"/>
                <w:sz w:val="20"/>
                <w:szCs w:val="20"/>
              </w:rPr>
              <w:t>Lim</w:t>
            </w:r>
            <w:r w:rsidR="00FF6D96">
              <w:rPr>
                <w:rFonts w:ascii="Arial" w:hAnsi="Arial" w:cs="Arial"/>
                <w:sz w:val="20"/>
                <w:szCs w:val="20"/>
              </w:rPr>
              <w:t>ite Constitucional - Educação (</w:t>
            </w:r>
            <w:r w:rsidRPr="002E6854">
              <w:rPr>
                <w:rFonts w:ascii="Arial" w:hAnsi="Arial" w:cs="Arial"/>
                <w:sz w:val="20"/>
                <w:szCs w:val="20"/>
              </w:rPr>
              <w:t xml:space="preserve">25%), Limite Constitucional </w:t>
            </w:r>
            <w:proofErr w:type="spellStart"/>
            <w:r w:rsidRPr="002E6854">
              <w:rPr>
                <w:rFonts w:ascii="Arial" w:hAnsi="Arial" w:cs="Arial"/>
                <w:sz w:val="20"/>
                <w:szCs w:val="20"/>
              </w:rPr>
              <w:t>Fundeb</w:t>
            </w:r>
            <w:proofErr w:type="spellEnd"/>
            <w:r w:rsidRPr="002E6854">
              <w:rPr>
                <w:rFonts w:ascii="Arial" w:hAnsi="Arial" w:cs="Arial"/>
                <w:sz w:val="20"/>
                <w:szCs w:val="20"/>
              </w:rPr>
              <w:t xml:space="preserve"> (70%), Limite Constitucional - Saúde (15%</w:t>
            </w:r>
            <w:proofErr w:type="gramStart"/>
            <w:r w:rsidRPr="002E6854">
              <w:rPr>
                <w:rFonts w:ascii="Arial" w:hAnsi="Arial" w:cs="Arial"/>
                <w:sz w:val="20"/>
                <w:szCs w:val="20"/>
              </w:rPr>
              <w:t>) ,</w:t>
            </w:r>
            <w:proofErr w:type="gramEnd"/>
            <w:r w:rsidRPr="002E685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E6854">
              <w:rPr>
                <w:rFonts w:ascii="Arial" w:hAnsi="Arial" w:cs="Arial"/>
                <w:sz w:val="20"/>
                <w:szCs w:val="20"/>
              </w:rPr>
              <w:t xml:space="preserve">ealização de operações de crédito que não excedam o montante das despesas de capital e Limite Constitucional </w:t>
            </w:r>
            <w:proofErr w:type="spellStart"/>
            <w:r w:rsidRPr="002E6854">
              <w:rPr>
                <w:rFonts w:ascii="Arial" w:hAnsi="Arial" w:cs="Arial"/>
                <w:sz w:val="20"/>
                <w:szCs w:val="20"/>
              </w:rPr>
              <w:t>Fundeb</w:t>
            </w:r>
            <w:proofErr w:type="spellEnd"/>
            <w:r w:rsidRPr="002E6854">
              <w:rPr>
                <w:rFonts w:ascii="Arial" w:hAnsi="Arial" w:cs="Arial"/>
                <w:sz w:val="20"/>
                <w:szCs w:val="20"/>
              </w:rPr>
              <w:t xml:space="preserve"> VAAT (50%)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81028F" w:rsidRPr="00A07E05" w:rsidRDefault="0081028F" w:rsidP="004A5512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6D7EA6">
              <w:rPr>
                <w:rFonts w:ascii="Arial" w:hAnsi="Arial" w:cs="Arial"/>
                <w:b/>
                <w:sz w:val="20"/>
                <w:szCs w:val="20"/>
              </w:rPr>
              <w:t>I, VIII, IX e X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B84479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B84479">
              <w:rPr>
                <w:rFonts w:ascii="Arial" w:hAnsi="Arial" w:cs="Arial"/>
                <w:b/>
                <w:sz w:val="20"/>
                <w:szCs w:val="20"/>
              </w:rPr>
              <w:t>- A</w:t>
            </w:r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>rt. 212-A, inciso XI, da Constituição Federal, do art. 25, § 1º, inciso IV, alínea "b", da L</w:t>
            </w:r>
            <w:r w:rsidR="004A551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 xml:space="preserve"> 101</w:t>
            </w:r>
            <w:r w:rsidR="004A5512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 xml:space="preserve">00, e dos </w:t>
            </w:r>
            <w:proofErr w:type="spellStart"/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>arts</w:t>
            </w:r>
            <w:proofErr w:type="spellEnd"/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>. 26 e 38, da Lei nº 14.113</w:t>
            </w:r>
            <w:r w:rsidR="00D9477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>20,</w:t>
            </w:r>
            <w:proofErr w:type="gramStart"/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 xml:space="preserve">  </w:t>
            </w:r>
            <w:proofErr w:type="gramEnd"/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 xml:space="preserve">art. 212-A, § 3º, da Constituição Federal, do art. 25, § 1º, inciso IV, alínea "b", da </w:t>
            </w:r>
            <w:r w:rsidR="00D94775">
              <w:rPr>
                <w:rFonts w:ascii="Arial" w:hAnsi="Arial" w:cs="Arial"/>
                <w:b/>
                <w:sz w:val="20"/>
                <w:szCs w:val="20"/>
              </w:rPr>
              <w:t>LC</w:t>
            </w:r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 xml:space="preserve"> 101</w:t>
            </w:r>
            <w:r w:rsidR="00D94775">
              <w:rPr>
                <w:rFonts w:ascii="Arial" w:hAnsi="Arial" w:cs="Arial"/>
                <w:b/>
                <w:sz w:val="20"/>
                <w:szCs w:val="20"/>
              </w:rPr>
              <w:t>/00</w:t>
            </w:r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 xml:space="preserve">, e dos </w:t>
            </w:r>
            <w:proofErr w:type="spellStart"/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>arts</w:t>
            </w:r>
            <w:proofErr w:type="spellEnd"/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>. 28 e 38, da Lei nº 14.113</w:t>
            </w:r>
            <w:r w:rsidR="00D9477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t xml:space="preserve">20, Art. 212 da </w:t>
            </w:r>
            <w:r w:rsidR="00B84479" w:rsidRPr="00B84479">
              <w:rPr>
                <w:rFonts w:ascii="Arial" w:hAnsi="Arial" w:cs="Arial"/>
                <w:b/>
                <w:sz w:val="20"/>
                <w:szCs w:val="20"/>
              </w:rPr>
              <w:lastRenderedPageBreak/>
              <w:t>Constituição Federal, art. 198, § 2º, da Constituição Federal</w:t>
            </w:r>
            <w:r w:rsidR="00B8447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81028F" w:rsidRPr="00A07E05" w:rsidRDefault="0081028F" w:rsidP="0081028F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81028F" w:rsidRPr="00A07E05" w:rsidRDefault="0081028F" w:rsidP="0081028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EA6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2E6854" w:rsidRDefault="00395B65" w:rsidP="002E6854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493">
              <w:rPr>
                <w:rFonts w:ascii="Arial" w:hAnsi="Arial" w:cs="Arial"/>
                <w:sz w:val="20"/>
                <w:szCs w:val="20"/>
              </w:rPr>
              <w:lastRenderedPageBreak/>
              <w:t xml:space="preserve">Declaração </w:t>
            </w:r>
            <w:r w:rsidR="00F80493">
              <w:rPr>
                <w:rFonts w:ascii="Arial" w:hAnsi="Arial" w:cs="Arial"/>
                <w:sz w:val="20"/>
                <w:szCs w:val="20"/>
              </w:rPr>
              <w:t>de</w:t>
            </w:r>
            <w:r w:rsidRPr="00F80493">
              <w:rPr>
                <w:rFonts w:ascii="Arial" w:hAnsi="Arial" w:cs="Arial"/>
                <w:sz w:val="20"/>
                <w:szCs w:val="20"/>
              </w:rPr>
              <w:t xml:space="preserve"> Regularidade </w:t>
            </w:r>
            <w:r w:rsidR="00F80493">
              <w:rPr>
                <w:rFonts w:ascii="Arial" w:hAnsi="Arial" w:cs="Arial"/>
                <w:sz w:val="20"/>
                <w:szCs w:val="20"/>
              </w:rPr>
              <w:t>n</w:t>
            </w:r>
            <w:r w:rsidRPr="00F80493">
              <w:rPr>
                <w:rFonts w:ascii="Arial" w:hAnsi="Arial" w:cs="Arial"/>
                <w:sz w:val="20"/>
                <w:szCs w:val="20"/>
              </w:rPr>
              <w:t xml:space="preserve">o Cumprimento </w:t>
            </w:r>
            <w:r w:rsidR="00D961F1">
              <w:rPr>
                <w:rFonts w:ascii="Arial" w:hAnsi="Arial" w:cs="Arial"/>
                <w:sz w:val="20"/>
                <w:szCs w:val="20"/>
              </w:rPr>
              <w:t>d</w:t>
            </w:r>
            <w:r w:rsidRPr="00F80493">
              <w:rPr>
                <w:rFonts w:ascii="Arial" w:hAnsi="Arial" w:cs="Arial"/>
                <w:sz w:val="20"/>
                <w:szCs w:val="20"/>
              </w:rPr>
              <w:t xml:space="preserve">e Limites </w:t>
            </w:r>
            <w:r w:rsidR="00F80493" w:rsidRPr="00F80493">
              <w:rPr>
                <w:rFonts w:ascii="Arial" w:hAnsi="Arial" w:cs="Arial"/>
                <w:sz w:val="20"/>
                <w:szCs w:val="20"/>
              </w:rPr>
              <w:t>–</w:t>
            </w:r>
            <w:r w:rsidRPr="00F80493">
              <w:rPr>
                <w:rFonts w:ascii="Arial" w:hAnsi="Arial" w:cs="Arial"/>
                <w:sz w:val="20"/>
                <w:szCs w:val="20"/>
              </w:rPr>
              <w:t xml:space="preserve"> Incisos</w:t>
            </w:r>
            <w:proofErr w:type="gramStart"/>
            <w:r w:rsidR="00F804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493" w:rsidRPr="00F80493">
              <w:rPr>
                <w:rFonts w:ascii="Arial" w:hAnsi="Arial" w:cs="Arial"/>
                <w:sz w:val="20"/>
                <w:szCs w:val="20"/>
              </w:rPr>
              <w:t> </w:t>
            </w:r>
            <w:proofErr w:type="gramEnd"/>
            <w:r w:rsidR="00F80493" w:rsidRPr="00F80493">
              <w:rPr>
                <w:rFonts w:ascii="Arial" w:hAnsi="Arial" w:cs="Arial"/>
                <w:sz w:val="20"/>
                <w:szCs w:val="20"/>
              </w:rPr>
              <w:t xml:space="preserve">XI, </w:t>
            </w:r>
            <w:r w:rsidR="00B4059E" w:rsidRPr="00A07E05">
              <w:rPr>
                <w:rFonts w:ascii="Arial" w:hAnsi="Arial" w:cs="Arial"/>
                <w:sz w:val="20"/>
                <w:szCs w:val="20"/>
              </w:rPr>
              <w:t>(*)</w:t>
            </w:r>
            <w:r w:rsidR="002E685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D7EA6" w:rsidRPr="00A07E05" w:rsidRDefault="002E6854" w:rsidP="00331D33">
            <w:pPr>
              <w:pStyle w:val="PargrafodaLista"/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854">
              <w:rPr>
                <w:rFonts w:ascii="Arial" w:hAnsi="Arial" w:cs="Arial"/>
                <w:sz w:val="20"/>
                <w:szCs w:val="20"/>
              </w:rPr>
              <w:t xml:space="preserve">Limite </w:t>
            </w:r>
            <w:r>
              <w:rPr>
                <w:rFonts w:ascii="Arial" w:hAnsi="Arial" w:cs="Arial"/>
                <w:sz w:val="20"/>
                <w:szCs w:val="20"/>
              </w:rPr>
              <w:t>de Despesas com Pessoal</w:t>
            </w:r>
            <w:r w:rsidR="00FF6D9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Pr="002E6854">
              <w:rPr>
                <w:rFonts w:ascii="Arial" w:hAnsi="Arial" w:cs="Arial"/>
                <w:sz w:val="20"/>
                <w:szCs w:val="20"/>
              </w:rPr>
              <w:t>%)</w:t>
            </w:r>
            <w:r w:rsidR="00331D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1D33" w:rsidRPr="00A07E05">
              <w:rPr>
                <w:rFonts w:ascii="Arial" w:hAnsi="Arial" w:cs="Arial"/>
                <w:sz w:val="20"/>
                <w:szCs w:val="20"/>
              </w:rPr>
              <w:t>(*)</w:t>
            </w:r>
            <w:r w:rsidR="00331D3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6D7EA6" w:rsidRPr="00A07E05" w:rsidRDefault="006D7EA6" w:rsidP="00B735B8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XI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 xml:space="preserve"> - A</w:t>
            </w:r>
            <w:r w:rsidR="000C2155" w:rsidRPr="000C2155">
              <w:rPr>
                <w:rFonts w:ascii="Arial" w:hAnsi="Arial" w:cs="Arial"/>
                <w:b/>
                <w:sz w:val="20"/>
                <w:szCs w:val="20"/>
              </w:rPr>
              <w:t xml:space="preserve">rt. 169, § 2º, da Constituição, e do art. 25, § 1º, inciso IV, alínea "c" da </w:t>
            </w:r>
            <w:r w:rsidR="000C2155" w:rsidRPr="000C2155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>C 101/00.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6D7EA6" w:rsidRPr="00A07E05" w:rsidRDefault="006D7EA6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6D7EA6" w:rsidRPr="00A07E05" w:rsidRDefault="006D7EA6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FF6D96" w:rsidRDefault="00B735B8" w:rsidP="00B735B8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493">
              <w:rPr>
                <w:rFonts w:ascii="Arial" w:hAnsi="Arial" w:cs="Arial"/>
                <w:sz w:val="20"/>
                <w:szCs w:val="20"/>
              </w:rPr>
              <w:t xml:space="preserve">Declaração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80493">
              <w:rPr>
                <w:rFonts w:ascii="Arial" w:hAnsi="Arial" w:cs="Arial"/>
                <w:sz w:val="20"/>
                <w:szCs w:val="20"/>
              </w:rPr>
              <w:t xml:space="preserve"> Regularidade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80493">
              <w:rPr>
                <w:rFonts w:ascii="Arial" w:hAnsi="Arial" w:cs="Arial"/>
                <w:sz w:val="20"/>
                <w:szCs w:val="20"/>
              </w:rPr>
              <w:t xml:space="preserve">o Cumprimento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80493">
              <w:rPr>
                <w:rFonts w:ascii="Arial" w:hAnsi="Arial" w:cs="Arial"/>
                <w:sz w:val="20"/>
                <w:szCs w:val="20"/>
              </w:rPr>
              <w:t>e Limites – Incisos XII, XIII e XXI</w:t>
            </w:r>
            <w:r w:rsidR="00FF6D9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735B8" w:rsidRPr="00A07E05" w:rsidRDefault="00FF6D96" w:rsidP="00FF6D96">
            <w:pPr>
              <w:pStyle w:val="PargrafodaLista"/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854">
              <w:rPr>
                <w:rFonts w:ascii="Arial" w:hAnsi="Arial" w:cs="Arial"/>
                <w:sz w:val="20"/>
                <w:szCs w:val="20"/>
              </w:rPr>
              <w:t>Limite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E68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6D96">
              <w:rPr>
                <w:rFonts w:ascii="Arial" w:hAnsi="Arial" w:cs="Arial"/>
                <w:sz w:val="20"/>
                <w:szCs w:val="20"/>
              </w:rPr>
              <w:t>relativos às dívidas consolidada e mobiliária e às operações de crédito, inclusive por antecipação de receita</w:t>
            </w:r>
            <w:r>
              <w:rPr>
                <w:rFonts w:ascii="Arial" w:hAnsi="Arial" w:cs="Arial"/>
                <w:sz w:val="20"/>
                <w:szCs w:val="20"/>
              </w:rPr>
              <w:t xml:space="preserve">, cumprimento </w:t>
            </w:r>
            <w:r w:rsidRPr="00FF6D96">
              <w:rPr>
                <w:rFonts w:ascii="Arial" w:hAnsi="Arial" w:cs="Arial"/>
                <w:sz w:val="20"/>
                <w:szCs w:val="20"/>
              </w:rPr>
              <w:t>das condições para a inscrição em restos a pagar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FF6D96">
              <w:rPr>
                <w:rFonts w:ascii="Arial" w:hAnsi="Arial" w:cs="Arial"/>
                <w:sz w:val="20"/>
                <w:szCs w:val="20"/>
              </w:rPr>
              <w:t>regularidade na contratação de operação de crédito com instituição financeira</w:t>
            </w:r>
            <w:r w:rsidR="003126DA">
              <w:rPr>
                <w:rFonts w:ascii="Arial" w:hAnsi="Arial" w:cs="Arial"/>
                <w:sz w:val="20"/>
                <w:szCs w:val="20"/>
              </w:rPr>
              <w:t>;</w:t>
            </w:r>
            <w:r w:rsidR="00331D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1D33" w:rsidRPr="00A07E05">
              <w:rPr>
                <w:rFonts w:ascii="Arial" w:hAnsi="Arial" w:cs="Arial"/>
                <w:sz w:val="20"/>
                <w:szCs w:val="20"/>
              </w:rPr>
              <w:t>(*)</w:t>
            </w:r>
            <w:r w:rsidR="00331D3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B735B8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XII, XIII e XXI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 xml:space="preserve">Art. 25° </w:t>
            </w:r>
            <w:r w:rsidR="000C2155" w:rsidRPr="009047E0">
              <w:rPr>
                <w:rFonts w:ascii="Arial" w:hAnsi="Arial" w:cs="Arial"/>
                <w:b/>
                <w:sz w:val="20"/>
                <w:szCs w:val="20"/>
              </w:rPr>
              <w:t xml:space="preserve">§ 1°, 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>IV, “c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="00B84479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="00FC571C">
              <w:rPr>
                <w:rFonts w:ascii="Arial" w:hAnsi="Arial" w:cs="Arial"/>
                <w:b/>
                <w:sz w:val="20"/>
                <w:szCs w:val="20"/>
              </w:rPr>
              <w:t xml:space="preserve"> Art.</w:t>
            </w:r>
            <w:r w:rsidR="00B84479">
              <w:rPr>
                <w:rFonts w:ascii="Arial" w:hAnsi="Arial" w:cs="Arial"/>
                <w:b/>
                <w:sz w:val="20"/>
                <w:szCs w:val="20"/>
              </w:rPr>
              <w:t xml:space="preserve"> 33°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 xml:space="preserve"> da LC 101/00.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B735B8" w:rsidRPr="00F80493" w:rsidRDefault="00B735B8" w:rsidP="006D7EA6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Declaração de Exercício de Plena Competência Tributária;</w:t>
            </w:r>
            <w:r w:rsidR="00B4059E" w:rsidRPr="00A07E05">
              <w:rPr>
                <w:rFonts w:ascii="Arial" w:hAnsi="Arial" w:cs="Arial"/>
                <w:sz w:val="20"/>
                <w:szCs w:val="20"/>
              </w:rPr>
              <w:t xml:space="preserve"> (*</w:t>
            </w:r>
            <w:proofErr w:type="gramStart"/>
            <w:r w:rsidR="00B4059E" w:rsidRPr="00A07E05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0C2155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XV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 xml:space="preserve"> da LC 101/00.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B735B8" w:rsidRDefault="00B735B8" w:rsidP="006D7EA6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Certificado de regularidade do Fundo de Garantia por Tempo de Serviço - CRF;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0C2155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XVI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="000C2155" w:rsidRPr="000C2155">
              <w:rPr>
                <w:rFonts w:ascii="Arial" w:hAnsi="Arial" w:cs="Arial"/>
                <w:b/>
                <w:sz w:val="20"/>
                <w:szCs w:val="20"/>
              </w:rPr>
              <w:t>arts</w:t>
            </w:r>
            <w:proofErr w:type="spellEnd"/>
            <w:r w:rsidR="000C2155" w:rsidRPr="000C2155">
              <w:rPr>
                <w:rFonts w:ascii="Arial" w:hAnsi="Arial" w:cs="Arial"/>
                <w:b/>
                <w:sz w:val="20"/>
                <w:szCs w:val="20"/>
              </w:rPr>
              <w:t xml:space="preserve">. 68, inciso IV, 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>e 184 da Lei nº 14.133, de 2021, A</w:t>
            </w:r>
            <w:r w:rsidR="000C2155" w:rsidRPr="000C2155">
              <w:rPr>
                <w:rFonts w:ascii="Arial" w:hAnsi="Arial" w:cs="Arial"/>
                <w:b/>
                <w:sz w:val="20"/>
                <w:szCs w:val="20"/>
              </w:rPr>
              <w:t>rt. 25, § 1º, inciso IV, alínea "a", da L</w:t>
            </w:r>
            <w:r w:rsidR="000C2155">
              <w:rPr>
                <w:rFonts w:ascii="Arial" w:hAnsi="Arial" w:cs="Arial"/>
                <w:b/>
                <w:sz w:val="20"/>
                <w:szCs w:val="20"/>
              </w:rPr>
              <w:t>C 101/00.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Recibo de entrega das contas ao Poder Executivo da União;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4E01D2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XVII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4E01D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4E01D2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 w:rsidR="004E01D2">
              <w:rPr>
                <w:rFonts w:ascii="Arial" w:hAnsi="Arial" w:cs="Arial"/>
                <w:b/>
                <w:sz w:val="20"/>
                <w:szCs w:val="20"/>
              </w:rPr>
              <w:t>51</w:t>
            </w:r>
            <w:r w:rsidR="004E01D2">
              <w:rPr>
                <w:rFonts w:ascii="Arial" w:hAnsi="Arial" w:cs="Arial"/>
                <w:b/>
                <w:sz w:val="20"/>
                <w:szCs w:val="20"/>
              </w:rPr>
              <w:t xml:space="preserve">° </w:t>
            </w:r>
            <w:r w:rsidR="004E01D2" w:rsidRPr="009047E0">
              <w:rPr>
                <w:rFonts w:ascii="Arial" w:hAnsi="Arial" w:cs="Arial"/>
                <w:b/>
                <w:sz w:val="20"/>
                <w:szCs w:val="20"/>
              </w:rPr>
              <w:t>§ 1°</w:t>
            </w:r>
            <w:r w:rsidR="004E01D2">
              <w:rPr>
                <w:rFonts w:ascii="Arial" w:hAnsi="Arial" w:cs="Arial"/>
                <w:b/>
                <w:sz w:val="20"/>
                <w:szCs w:val="20"/>
              </w:rPr>
              <w:t xml:space="preserve"> da LC 101/00.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 xml:space="preserve">Declaração emitida pelo Chefe do Poder Executivo do Ente que atende ao disposto nos </w:t>
            </w:r>
            <w:proofErr w:type="spellStart"/>
            <w:r w:rsidRPr="00A07E05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A07E05">
              <w:rPr>
                <w:rFonts w:ascii="Arial" w:hAnsi="Arial" w:cs="Arial"/>
                <w:sz w:val="20"/>
                <w:szCs w:val="20"/>
              </w:rPr>
              <w:t>. 48 e 48-A da Lei Complementar n° 101, de 04 de maio de 2000 (*).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4E01D2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XVIII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4E01D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="00A26D82">
              <w:rPr>
                <w:rFonts w:ascii="Arial" w:hAnsi="Arial" w:cs="Arial"/>
                <w:b/>
                <w:sz w:val="20"/>
                <w:szCs w:val="20"/>
              </w:rPr>
              <w:t>a</w:t>
            </w:r>
            <w:bookmarkStart w:id="1" w:name="_GoBack"/>
            <w:bookmarkEnd w:id="1"/>
            <w:r w:rsidR="004E01D2">
              <w:rPr>
                <w:rFonts w:ascii="Arial" w:hAnsi="Arial" w:cs="Arial"/>
                <w:b/>
                <w:sz w:val="20"/>
                <w:szCs w:val="20"/>
              </w:rPr>
              <w:t>rt</w:t>
            </w:r>
            <w:r w:rsidR="004E01D2">
              <w:rPr>
                <w:rFonts w:ascii="Arial" w:hAnsi="Arial" w:cs="Arial"/>
                <w:b/>
                <w:sz w:val="20"/>
                <w:szCs w:val="20"/>
              </w:rPr>
              <w:t>s</w:t>
            </w:r>
            <w:proofErr w:type="spellEnd"/>
            <w:r w:rsidR="004E01D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E01D2">
              <w:rPr>
                <w:rFonts w:ascii="Arial" w:hAnsi="Arial" w:cs="Arial"/>
                <w:b/>
                <w:sz w:val="20"/>
                <w:szCs w:val="20"/>
              </w:rPr>
              <w:t>48 e 48-A</w:t>
            </w:r>
            <w:r w:rsidR="004E01D2">
              <w:rPr>
                <w:rFonts w:ascii="Arial" w:hAnsi="Arial" w:cs="Arial"/>
                <w:b/>
                <w:sz w:val="20"/>
                <w:szCs w:val="20"/>
              </w:rPr>
              <w:t xml:space="preserve"> da LC 101/00.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Certidão de Regularidade Fiscal perante a Fazenda Federal relativa a tributos e à Seguridade Social;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XIX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4E01D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4E01D2" w:rsidRPr="004E01D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E01D2" w:rsidRPr="004E01D2">
              <w:rPr>
                <w:rFonts w:ascii="Arial" w:hAnsi="Arial" w:cs="Arial"/>
                <w:b/>
                <w:sz w:val="20"/>
                <w:szCs w:val="20"/>
              </w:rPr>
              <w:t>rt. 195, § 3º, da Constituição Federal</w:t>
            </w:r>
            <w:r w:rsidR="004E01D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B735B8" w:rsidRPr="002E307B" w:rsidRDefault="00B735B8" w:rsidP="002E307B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307B">
              <w:rPr>
                <w:rFonts w:ascii="Arial" w:hAnsi="Arial" w:cs="Arial"/>
                <w:color w:val="auto"/>
                <w:sz w:val="20"/>
                <w:szCs w:val="20"/>
              </w:rPr>
              <w:t>Relatório de Gestão Fiscal;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XX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r w:rsidR="00D9477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94775">
              <w:rPr>
                <w:rFonts w:ascii="Arial" w:hAnsi="Arial" w:cs="Arial"/>
                <w:b/>
                <w:sz w:val="20"/>
                <w:szCs w:val="20"/>
              </w:rPr>
              <w:t xml:space="preserve">Art. 25° </w:t>
            </w:r>
            <w:r w:rsidR="00D94775" w:rsidRPr="009047E0">
              <w:rPr>
                <w:rFonts w:ascii="Arial" w:hAnsi="Arial" w:cs="Arial"/>
                <w:b/>
                <w:sz w:val="20"/>
                <w:szCs w:val="20"/>
              </w:rPr>
              <w:t xml:space="preserve">§ 1°, </w:t>
            </w:r>
            <w:r w:rsidR="00D94775">
              <w:rPr>
                <w:rFonts w:ascii="Arial" w:hAnsi="Arial" w:cs="Arial"/>
                <w:b/>
                <w:sz w:val="20"/>
                <w:szCs w:val="20"/>
              </w:rPr>
              <w:t>IV, “c” e Art. 33° da LC 101/00.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B735B8" w:rsidRPr="002E307B" w:rsidRDefault="00B735B8" w:rsidP="002E307B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307B">
              <w:rPr>
                <w:rFonts w:ascii="Arial" w:hAnsi="Arial" w:cs="Arial"/>
                <w:color w:val="auto"/>
                <w:sz w:val="20"/>
                <w:szCs w:val="20"/>
              </w:rPr>
              <w:t xml:space="preserve">Relatório Resumido de Execução Orçamentária </w:t>
            </w:r>
            <w:r w:rsidR="002E307B" w:rsidRPr="002E307B">
              <w:rPr>
                <w:rFonts w:ascii="Arial" w:hAnsi="Arial" w:cs="Arial"/>
                <w:color w:val="auto"/>
                <w:sz w:val="20"/>
                <w:szCs w:val="20"/>
              </w:rPr>
              <w:t xml:space="preserve">- (RREO referente ao bimestre atual) </w:t>
            </w:r>
            <w:r w:rsidRPr="002E307B">
              <w:rPr>
                <w:rFonts w:ascii="Arial" w:hAnsi="Arial" w:cs="Arial"/>
                <w:color w:val="auto"/>
                <w:sz w:val="20"/>
                <w:szCs w:val="20"/>
              </w:rPr>
              <w:t>(*);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735B8" w:rsidRPr="00A07E05" w:rsidRDefault="003126DA" w:rsidP="00B84479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VII, VIII, IX e X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proofErr w:type="gramEnd"/>
            <w:r w:rsidR="00B844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B735B8" w:rsidRPr="002E307B" w:rsidRDefault="00B735B8" w:rsidP="006D7EA6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307B">
              <w:rPr>
                <w:rFonts w:ascii="Arial" w:hAnsi="Arial" w:cs="Arial"/>
                <w:color w:val="auto"/>
                <w:sz w:val="20"/>
                <w:szCs w:val="20"/>
              </w:rPr>
              <w:t>Inscrição e situação cadastral do Ente no Cadastro Nacional de Pessoas Jurídicas – CNPJ;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735B8" w:rsidRPr="00A07E05" w:rsidRDefault="003126DA" w:rsidP="003126DA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da Portaria SCGE N°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  <w:proofErr w:type="gramEnd"/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trHeight w:val="379"/>
          <w:jc w:val="center"/>
        </w:trPr>
        <w:tc>
          <w:tcPr>
            <w:tcW w:w="5953" w:type="dxa"/>
            <w:vMerge w:val="restart"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lastRenderedPageBreak/>
              <w:t>DOCUMENTOS DO CHEFE DO PODER EXECUTIVO</w:t>
            </w:r>
          </w:p>
        </w:tc>
        <w:tc>
          <w:tcPr>
            <w:tcW w:w="3172" w:type="dxa"/>
            <w:vMerge w:val="restart"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FUNDAMENTO LEGAL</w:t>
            </w:r>
          </w:p>
        </w:tc>
        <w:tc>
          <w:tcPr>
            <w:tcW w:w="688" w:type="dxa"/>
            <w:vMerge w:val="restart"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38" w:type="dxa"/>
            <w:vMerge w:val="restart"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</w:tr>
      <w:tr w:rsidR="00B735B8" w:rsidRPr="00A07E05" w:rsidTr="001308C1">
        <w:trPr>
          <w:trHeight w:val="379"/>
          <w:jc w:val="center"/>
        </w:trPr>
        <w:tc>
          <w:tcPr>
            <w:tcW w:w="5953" w:type="dxa"/>
            <w:vMerge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numPr>
                <w:ilvl w:val="0"/>
                <w:numId w:val="1"/>
              </w:num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  <w:shd w:val="clear" w:color="auto" w:fill="C6D9F1" w:themeFill="text2" w:themeFillTint="33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shd w:val="clear" w:color="auto" w:fill="C6D9F1" w:themeFill="text2" w:themeFillTint="33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Cópia da </w:t>
            </w:r>
            <w:r w:rsidRPr="00D961F1">
              <w:rPr>
                <w:rFonts w:ascii="Arial" w:hAnsi="Arial" w:cs="Arial"/>
                <w:sz w:val="20"/>
                <w:szCs w:val="20"/>
              </w:rPr>
              <w:t>Carteira de Identidade e da inscrição no Ca</w:t>
            </w:r>
            <w:r w:rsidR="00B5452E">
              <w:rPr>
                <w:rFonts w:ascii="Arial" w:hAnsi="Arial" w:cs="Arial"/>
                <w:sz w:val="20"/>
                <w:szCs w:val="20"/>
              </w:rPr>
              <w:t>dastro de Pessoas Físicas – CPF</w:t>
            </w:r>
            <w:r w:rsidRPr="00D961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7E05">
              <w:rPr>
                <w:rFonts w:ascii="Arial" w:hAnsi="Arial" w:cs="Arial"/>
                <w:sz w:val="20"/>
                <w:szCs w:val="20"/>
              </w:rPr>
              <w:t>(*);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Cópia do Diploma eleitoral fornecida pelo Tribunal Regional Eleitoral e da ata passe, acompanhada da publicação da portaria de nomeação ou outro instrumento equivalente, que delegue competência para representar o ente, órgão ou entidade pública (*).</w:t>
            </w:r>
          </w:p>
        </w:tc>
        <w:tc>
          <w:tcPr>
            <w:tcW w:w="3172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°,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II </w:t>
            </w:r>
            <w:r w:rsidRPr="00A07E05">
              <w:rPr>
                <w:rFonts w:ascii="Arial" w:hAnsi="Arial" w:cs="Arial"/>
                <w:b/>
                <w:sz w:val="20"/>
                <w:szCs w:val="20"/>
              </w:rPr>
              <w:t xml:space="preserve">da Portaria SCGE N° </w:t>
            </w:r>
            <w:r>
              <w:rPr>
                <w:rFonts w:ascii="Arial" w:hAnsi="Arial" w:cs="Arial"/>
                <w:b/>
                <w:sz w:val="20"/>
                <w:szCs w:val="20"/>
              </w:rPr>
              <w:t>49/25</w:t>
            </w:r>
          </w:p>
        </w:tc>
        <w:tc>
          <w:tcPr>
            <w:tcW w:w="68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B8" w:rsidRPr="00A07E05" w:rsidTr="001308C1">
        <w:trPr>
          <w:trHeight w:val="379"/>
          <w:jc w:val="center"/>
        </w:trPr>
        <w:tc>
          <w:tcPr>
            <w:tcW w:w="5953" w:type="dxa"/>
            <w:vMerge w:val="restart"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DOCUMENTOS DO USUÁRIO DO SISTEMA CRT</w:t>
            </w:r>
          </w:p>
        </w:tc>
        <w:tc>
          <w:tcPr>
            <w:tcW w:w="3172" w:type="dxa"/>
            <w:vMerge w:val="restart"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FUNDAMENTO LEGAL</w:t>
            </w:r>
          </w:p>
        </w:tc>
        <w:tc>
          <w:tcPr>
            <w:tcW w:w="688" w:type="dxa"/>
            <w:vMerge w:val="restart"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38" w:type="dxa"/>
            <w:vMerge w:val="restart"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</w:tr>
      <w:tr w:rsidR="00B735B8" w:rsidRPr="00A07E05" w:rsidTr="001308C1">
        <w:trPr>
          <w:trHeight w:val="379"/>
          <w:jc w:val="center"/>
        </w:trPr>
        <w:tc>
          <w:tcPr>
            <w:tcW w:w="5953" w:type="dxa"/>
            <w:vMerge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  <w:shd w:val="clear" w:color="auto" w:fill="C6D9F1" w:themeFill="text2" w:themeFillTint="33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shd w:val="clear" w:color="auto" w:fill="C6D9F1" w:themeFill="text2" w:themeFillTint="33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C6D9F1" w:themeFill="text2" w:themeFillTint="33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FFFFFF" w:themeFill="background1"/>
            <w:tcMar>
              <w:left w:w="88" w:type="dxa"/>
            </w:tcMar>
          </w:tcPr>
          <w:p w:rsidR="00B735B8" w:rsidRPr="00A07E05" w:rsidRDefault="00B735B8" w:rsidP="006D7EA6">
            <w:pPr>
              <w:pStyle w:val="PargrafodaLista"/>
              <w:numPr>
                <w:ilvl w:val="0"/>
                <w:numId w:val="3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Cópia do documento de Identificação do Usuário do Sistema CRT (*);</w:t>
            </w:r>
          </w:p>
        </w:tc>
        <w:tc>
          <w:tcPr>
            <w:tcW w:w="3172" w:type="dxa"/>
            <w:shd w:val="clear" w:color="auto" w:fill="FFFFFF" w:themeFill="background1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Art. 3, I, “r” da Portaria Conjunta SCGE/SEFAZ/SEPLAG n° 01/17</w:t>
            </w:r>
          </w:p>
        </w:tc>
        <w:tc>
          <w:tcPr>
            <w:tcW w:w="688" w:type="dxa"/>
            <w:shd w:val="clear" w:color="auto" w:fill="FFFFFF" w:themeFill="background1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FFFFFF" w:themeFill="background1"/>
            <w:tcMar>
              <w:left w:w="88" w:type="dxa"/>
            </w:tcMar>
          </w:tcPr>
          <w:p w:rsidR="00B735B8" w:rsidRPr="00A07E05" w:rsidRDefault="00B735B8" w:rsidP="006D7EA6">
            <w:pPr>
              <w:pStyle w:val="PargrafodaLista"/>
              <w:numPr>
                <w:ilvl w:val="0"/>
                <w:numId w:val="3"/>
              </w:num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Comprovante de inscrição no Cadastro de Pessoas Físicas-CPF (*);</w:t>
            </w:r>
          </w:p>
        </w:tc>
        <w:tc>
          <w:tcPr>
            <w:tcW w:w="3172" w:type="dxa"/>
            <w:shd w:val="clear" w:color="auto" w:fill="FFFFFF" w:themeFill="background1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Art. 3, I, “q” da Portaria Conjunta SCGE/SEFAZ/SEPLAG n° 01/17</w:t>
            </w:r>
          </w:p>
        </w:tc>
        <w:tc>
          <w:tcPr>
            <w:tcW w:w="688" w:type="dxa"/>
            <w:shd w:val="clear" w:color="auto" w:fill="FFFFFF" w:themeFill="background1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35B8" w:rsidRPr="00A07E05" w:rsidTr="001308C1">
        <w:trPr>
          <w:jc w:val="center"/>
        </w:trPr>
        <w:tc>
          <w:tcPr>
            <w:tcW w:w="5953" w:type="dxa"/>
            <w:shd w:val="clear" w:color="auto" w:fill="FFFFFF" w:themeFill="background1"/>
            <w:tcMar>
              <w:left w:w="88" w:type="dxa"/>
            </w:tcMar>
          </w:tcPr>
          <w:p w:rsidR="00B735B8" w:rsidRPr="00A07E05" w:rsidRDefault="00B735B8" w:rsidP="006D7EA6">
            <w:pPr>
              <w:pStyle w:val="Default"/>
              <w:numPr>
                <w:ilvl w:val="0"/>
                <w:numId w:val="3"/>
              </w:numPr>
              <w:spacing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eastAsiaTheme="minorHAnsi" w:hAnsi="Arial" w:cs="Arial"/>
                <w:color w:val="00000A"/>
                <w:sz w:val="20"/>
                <w:szCs w:val="20"/>
                <w:lang w:eastAsia="en-US"/>
              </w:rPr>
              <w:t>Declaração do Chefe do Poder Executivo para autorização da movimentação do Módulo do Cadastro de Regularidade para Transferências Estaduais - CRT, se houver.</w:t>
            </w:r>
            <w:r w:rsidRPr="00A07E05">
              <w:rPr>
                <w:rFonts w:ascii="Arial" w:hAnsi="Arial" w:cs="Arial"/>
                <w:sz w:val="20"/>
                <w:szCs w:val="20"/>
              </w:rPr>
              <w:t xml:space="preserve"> (*).</w:t>
            </w:r>
          </w:p>
        </w:tc>
        <w:tc>
          <w:tcPr>
            <w:tcW w:w="3172" w:type="dxa"/>
            <w:shd w:val="clear" w:color="auto" w:fill="FFFFFF" w:themeFill="background1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b/>
                <w:sz w:val="20"/>
                <w:szCs w:val="20"/>
              </w:rPr>
              <w:t>Art. 3, I, “s” da Portaria Conjunta SCGE/SEFAZ/SEPLAG n° 01/17</w:t>
            </w:r>
          </w:p>
        </w:tc>
        <w:tc>
          <w:tcPr>
            <w:tcW w:w="688" w:type="dxa"/>
            <w:shd w:val="clear" w:color="auto" w:fill="FFFFFF" w:themeFill="background1"/>
            <w:tcMar>
              <w:left w:w="88" w:type="dxa"/>
            </w:tcMar>
          </w:tcPr>
          <w:p w:rsidR="00B735B8" w:rsidRPr="00A07E05" w:rsidRDefault="00B735B8" w:rsidP="006D7EA6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B735B8" w:rsidRPr="00A07E05" w:rsidRDefault="00B735B8" w:rsidP="006D7EA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10618" w:rsidRDefault="00552714" w:rsidP="00410618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A07E05">
        <w:rPr>
          <w:rFonts w:ascii="Arial" w:hAnsi="Arial" w:cs="Arial"/>
          <w:b/>
          <w:sz w:val="20"/>
          <w:szCs w:val="20"/>
        </w:rPr>
        <w:t xml:space="preserve">OBS: </w:t>
      </w:r>
    </w:p>
    <w:p w:rsidR="00410618" w:rsidRPr="00410618" w:rsidRDefault="00552714" w:rsidP="0041061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</w:rPr>
      </w:pPr>
      <w:r w:rsidRPr="00410618">
        <w:rPr>
          <w:rFonts w:ascii="Arial" w:hAnsi="Arial" w:cs="Arial"/>
          <w:b/>
        </w:rPr>
        <w:t>Os documentos assinalados com (*) são de envio obrigatório pelo ente público para cadastro no CRT.</w:t>
      </w:r>
      <w:r w:rsidR="00410618" w:rsidRPr="00410618">
        <w:rPr>
          <w:rFonts w:ascii="Arial" w:hAnsi="Arial" w:cs="Arial"/>
          <w:b/>
        </w:rPr>
        <w:t xml:space="preserve"> </w:t>
      </w:r>
    </w:p>
    <w:p w:rsidR="00410618" w:rsidRPr="00410618" w:rsidRDefault="00410618" w:rsidP="0041061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10618">
        <w:rPr>
          <w:rFonts w:ascii="Arial" w:hAnsi="Arial" w:cs="Arial"/>
          <w:b/>
        </w:rPr>
        <w:t xml:space="preserve">O extrato emitido pelo Sistema de Informações sobre Requisitos Fiscais – CAUC poderá ser utilizado na verificação do cumprimento </w:t>
      </w:r>
      <w:r w:rsidR="000C2155">
        <w:rPr>
          <w:rFonts w:ascii="Arial" w:hAnsi="Arial" w:cs="Arial"/>
          <w:b/>
        </w:rPr>
        <w:t>dos requisitos nele apresentados</w:t>
      </w:r>
      <w:r>
        <w:rPr>
          <w:rFonts w:ascii="Arial" w:hAnsi="Arial" w:cs="Arial"/>
          <w:b/>
          <w:sz w:val="20"/>
          <w:szCs w:val="20"/>
        </w:rPr>
        <w:t>.</w:t>
      </w:r>
    </w:p>
    <w:sectPr w:rsidR="00410618" w:rsidRPr="004106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1134" w:bottom="737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FF" w:rsidRDefault="00826CFF" w:rsidP="00E266A9">
      <w:pPr>
        <w:spacing w:after="0" w:line="240" w:lineRule="auto"/>
      </w:pPr>
      <w:r>
        <w:separator/>
      </w:r>
    </w:p>
  </w:endnote>
  <w:endnote w:type="continuationSeparator" w:id="0">
    <w:p w:rsidR="00826CFF" w:rsidRDefault="00826CFF" w:rsidP="00E2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E9" w:rsidRDefault="000376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E9" w:rsidRDefault="000376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E9" w:rsidRDefault="000376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FF" w:rsidRDefault="00826CFF" w:rsidP="00E266A9">
      <w:pPr>
        <w:spacing w:after="0" w:line="240" w:lineRule="auto"/>
      </w:pPr>
      <w:bookmarkStart w:id="0" w:name="_Hlk160786022"/>
      <w:bookmarkEnd w:id="0"/>
      <w:r>
        <w:separator/>
      </w:r>
    </w:p>
  </w:footnote>
  <w:footnote w:type="continuationSeparator" w:id="0">
    <w:p w:rsidR="00826CFF" w:rsidRDefault="00826CFF" w:rsidP="00E2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E9" w:rsidRDefault="000376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6A9" w:rsidRDefault="00E266A9" w:rsidP="00E266A9">
    <w:pPr>
      <w:spacing w:after="0"/>
      <w:jc w:val="center"/>
    </w:pPr>
  </w:p>
  <w:p w:rsidR="00E266A9" w:rsidRDefault="00E266A9" w:rsidP="00E266A9">
    <w:pPr>
      <w:spacing w:after="0"/>
      <w:jc w:val="center"/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/>
      </w:rPr>
      <w:drawing>
        <wp:inline distT="0" distB="0" distL="0" distR="0" wp14:anchorId="1BF05136" wp14:editId="6D6857A3">
          <wp:extent cx="4022119" cy="103172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troladoria_go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629" cy="1060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66A9" w:rsidRDefault="00E266A9" w:rsidP="00E266A9">
    <w:pPr>
      <w:spacing w:after="0"/>
      <w:jc w:val="center"/>
    </w:pPr>
  </w:p>
  <w:p w:rsidR="00E266A9" w:rsidRPr="00B36BA4" w:rsidRDefault="00E266A9" w:rsidP="00E266A9">
    <w:pPr>
      <w:spacing w:after="0" w:line="252" w:lineRule="auto"/>
      <w:ind w:right="108"/>
      <w:jc w:val="right"/>
      <w:rPr>
        <w:rFonts w:ascii="Times New Roman" w:hAnsi="Times New Roman" w:cs="Times New Roman"/>
        <w:color w:val="000009"/>
      </w:rPr>
    </w:pPr>
    <w:r w:rsidRPr="00B36BA4">
      <w:rPr>
        <w:rFonts w:ascii="Times New Roman" w:hAnsi="Times New Roman" w:cs="Times New Roman"/>
        <w:color w:val="000009"/>
      </w:rPr>
      <w:t>Diretoria de Convênios e Regularidade (DCON)</w:t>
    </w:r>
  </w:p>
  <w:p w:rsidR="00E266A9" w:rsidRPr="0083598F" w:rsidRDefault="00E266A9" w:rsidP="00E266A9">
    <w:pPr>
      <w:spacing w:after="0" w:line="252" w:lineRule="auto"/>
      <w:ind w:right="108"/>
      <w:jc w:val="right"/>
      <w:rPr>
        <w:rFonts w:ascii="Times New Roman" w:hAnsi="Times New Roman" w:cs="Times New Roman"/>
      </w:rPr>
    </w:pPr>
    <w:r w:rsidRPr="0083598F">
      <w:rPr>
        <w:rFonts w:ascii="Times New Roman" w:hAnsi="Times New Roman" w:cs="Times New Roman"/>
        <w:color w:val="000009"/>
      </w:rPr>
      <w:t>Coordenadoria de Convênios de Despesa (CCD)</w:t>
    </w:r>
  </w:p>
  <w:p w:rsidR="00E266A9" w:rsidRDefault="00E266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E9" w:rsidRDefault="000376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A52"/>
    <w:multiLevelType w:val="multilevel"/>
    <w:tmpl w:val="59B26E6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C2136"/>
    <w:multiLevelType w:val="multilevel"/>
    <w:tmpl w:val="B010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7F64BE1"/>
    <w:multiLevelType w:val="hybridMultilevel"/>
    <w:tmpl w:val="20DCF3CC"/>
    <w:lvl w:ilvl="0" w:tplc="F4CCF98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D32AC"/>
    <w:multiLevelType w:val="hybridMultilevel"/>
    <w:tmpl w:val="C8F86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029E4"/>
    <w:multiLevelType w:val="multilevel"/>
    <w:tmpl w:val="2F681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053183B"/>
    <w:multiLevelType w:val="multilevel"/>
    <w:tmpl w:val="A0A0C6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AEA5C8E"/>
    <w:multiLevelType w:val="hybridMultilevel"/>
    <w:tmpl w:val="EC6C7418"/>
    <w:lvl w:ilvl="0" w:tplc="AABA3F6E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841BD"/>
    <w:multiLevelType w:val="multilevel"/>
    <w:tmpl w:val="5E6AA204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6209419A"/>
    <w:multiLevelType w:val="hybridMultilevel"/>
    <w:tmpl w:val="7D7EA824"/>
    <w:lvl w:ilvl="0" w:tplc="7CAC675A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F2C32"/>
    <w:multiLevelType w:val="hybridMultilevel"/>
    <w:tmpl w:val="6AC6AD1A"/>
    <w:lvl w:ilvl="0" w:tplc="F67A59D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9E6EA3"/>
    <w:multiLevelType w:val="multilevel"/>
    <w:tmpl w:val="48B2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3C"/>
    <w:rsid w:val="000376E9"/>
    <w:rsid w:val="000740F4"/>
    <w:rsid w:val="000C1CCE"/>
    <w:rsid w:val="000C2155"/>
    <w:rsid w:val="001000E5"/>
    <w:rsid w:val="001308C1"/>
    <w:rsid w:val="002643E2"/>
    <w:rsid w:val="002E307B"/>
    <w:rsid w:val="002E6854"/>
    <w:rsid w:val="003126DA"/>
    <w:rsid w:val="00331D33"/>
    <w:rsid w:val="00395B65"/>
    <w:rsid w:val="003F3961"/>
    <w:rsid w:val="00410618"/>
    <w:rsid w:val="004A5512"/>
    <w:rsid w:val="004E01D2"/>
    <w:rsid w:val="00513EBE"/>
    <w:rsid w:val="00522452"/>
    <w:rsid w:val="00552714"/>
    <w:rsid w:val="005F0BD7"/>
    <w:rsid w:val="00612349"/>
    <w:rsid w:val="006176D1"/>
    <w:rsid w:val="006568DF"/>
    <w:rsid w:val="006A43C4"/>
    <w:rsid w:val="006D7EA6"/>
    <w:rsid w:val="007329C3"/>
    <w:rsid w:val="00757F62"/>
    <w:rsid w:val="007B57E0"/>
    <w:rsid w:val="00807599"/>
    <w:rsid w:val="0081028F"/>
    <w:rsid w:val="00826ADC"/>
    <w:rsid w:val="00826CFF"/>
    <w:rsid w:val="00895C4F"/>
    <w:rsid w:val="009047E0"/>
    <w:rsid w:val="009A4085"/>
    <w:rsid w:val="00A07E05"/>
    <w:rsid w:val="00A26D82"/>
    <w:rsid w:val="00A60EA5"/>
    <w:rsid w:val="00AC4C0D"/>
    <w:rsid w:val="00B133F9"/>
    <w:rsid w:val="00B4059E"/>
    <w:rsid w:val="00B503DC"/>
    <w:rsid w:val="00B5452E"/>
    <w:rsid w:val="00B735B8"/>
    <w:rsid w:val="00B84479"/>
    <w:rsid w:val="00D47D3C"/>
    <w:rsid w:val="00D94775"/>
    <w:rsid w:val="00D961F1"/>
    <w:rsid w:val="00DD53BB"/>
    <w:rsid w:val="00E266A9"/>
    <w:rsid w:val="00EA15AB"/>
    <w:rsid w:val="00F80493"/>
    <w:rsid w:val="00FC571C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66F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361F0"/>
  </w:style>
  <w:style w:type="character" w:customStyle="1" w:styleId="RodapChar">
    <w:name w:val="Rodapé Char"/>
    <w:basedOn w:val="Fontepargpadro"/>
    <w:link w:val="Rodap"/>
    <w:uiPriority w:val="99"/>
    <w:qFormat/>
    <w:rsid w:val="006361F0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6B4875"/>
    <w:pPr>
      <w:ind w:left="720"/>
      <w:contextualSpacing/>
    </w:pPr>
  </w:style>
  <w:style w:type="paragraph" w:customStyle="1" w:styleId="Preformatted">
    <w:name w:val="Preformatted"/>
    <w:basedOn w:val="Normal"/>
    <w:qFormat/>
    <w:rsid w:val="00F521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Default">
    <w:name w:val="Default"/>
    <w:qFormat/>
    <w:rsid w:val="00F521B8"/>
    <w:pPr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66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361F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361F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table" w:styleId="Tabelacomgrade">
    <w:name w:val="Table Grid"/>
    <w:basedOn w:val="Tabelanormal"/>
    <w:uiPriority w:val="59"/>
    <w:rsid w:val="006B487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66F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361F0"/>
  </w:style>
  <w:style w:type="character" w:customStyle="1" w:styleId="RodapChar">
    <w:name w:val="Rodapé Char"/>
    <w:basedOn w:val="Fontepargpadro"/>
    <w:link w:val="Rodap"/>
    <w:uiPriority w:val="99"/>
    <w:qFormat/>
    <w:rsid w:val="006361F0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6B4875"/>
    <w:pPr>
      <w:ind w:left="720"/>
      <w:contextualSpacing/>
    </w:pPr>
  </w:style>
  <w:style w:type="paragraph" w:customStyle="1" w:styleId="Preformatted">
    <w:name w:val="Preformatted"/>
    <w:basedOn w:val="Normal"/>
    <w:qFormat/>
    <w:rsid w:val="00F521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Default">
    <w:name w:val="Default"/>
    <w:qFormat/>
    <w:rsid w:val="00F521B8"/>
    <w:pPr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66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361F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361F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table" w:styleId="Tabelacomgrade">
    <w:name w:val="Table Grid"/>
    <w:basedOn w:val="Tabelanormal"/>
    <w:uiPriority w:val="59"/>
    <w:rsid w:val="006B487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EBBF-9933-4A5E-AC56-8A072EAB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Ferreira de Melo</dc:creator>
  <cp:lastModifiedBy>leonardo.pires</cp:lastModifiedBy>
  <cp:revision>10</cp:revision>
  <cp:lastPrinted>2015-04-15T14:31:00Z</cp:lastPrinted>
  <dcterms:created xsi:type="dcterms:W3CDTF">2025-07-22T17:54:00Z</dcterms:created>
  <dcterms:modified xsi:type="dcterms:W3CDTF">2025-07-22T18:45:00Z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