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1.73228346456688" w:firstLine="0"/>
        <w:rPr>
          <w:rFonts w:ascii="Arial" w:cs="Arial" w:eastAsia="Arial" w:hAnsi="Arial"/>
          <w:sz w:val="2"/>
          <w:szCs w:val="2"/>
        </w:rPr>
      </w:pPr>
      <w:r w:rsidDel="00000000" w:rsidR="00000000" w:rsidRPr="00000000">
        <w:rPr>
          <w:rtl w:val="0"/>
        </w:rPr>
      </w:r>
    </w:p>
    <w:tbl>
      <w:tblPr>
        <w:tblStyle w:val="Table1"/>
        <w:tblW w:w="11131.0" w:type="dxa"/>
        <w:jc w:val="left"/>
        <w:tblInd w:w="-572.0" w:type="dxa"/>
        <w:tblLayout w:type="fixed"/>
        <w:tblLook w:val="0000"/>
      </w:tblPr>
      <w:tblGrid>
        <w:gridCol w:w="618"/>
        <w:gridCol w:w="5807"/>
        <w:gridCol w:w="1230"/>
        <w:gridCol w:w="709"/>
        <w:gridCol w:w="567"/>
        <w:gridCol w:w="485"/>
        <w:gridCol w:w="1715"/>
        <w:tblGridChange w:id="0">
          <w:tblGrid>
            <w:gridCol w:w="618"/>
            <w:gridCol w:w="5807"/>
            <w:gridCol w:w="1230"/>
            <w:gridCol w:w="709"/>
            <w:gridCol w:w="567"/>
            <w:gridCol w:w="485"/>
            <w:gridCol w:w="171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2">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3">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PROCEDIMENTOS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4">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BASE LEGAL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5">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7">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8">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9">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Lei Federal n 8.666/1993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 contrato contempla as cláusulas necessárias previstas no artigo 55 da Lei Federal n´8.666, de 1993?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 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regime de execução ou a forma de fornecimento contém elementos suficientes para a execução do contrato no prazo estabelecido?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 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condições de pagamento estabelecem os requisitos necessários para o pagamento ao contratado?</w:t>
            </w:r>
          </w:p>
          <w:p w:rsidR="00000000" w:rsidDel="00000000" w:rsidP="00000000" w:rsidRDefault="00000000" w:rsidRPr="00000000" w14:paraId="00000020">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São exemplos de requisitos necessários: a apresentação de documento fiscal do fornecimento de material ou execução de serviços, conferido e atestado pela Administração; apresentação de termo de medição no caso do acompanhamento de realização de obras; planilhas; recibo de aluguel: planilhas pormenorizadas de custos; demonstrações de cumprimento das obrigações com encargos sociais e trabalhistas com as devidas retenções tributárias dentre outras pertinentes ao tipo de contrato.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55, inciso III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critérios, a data-base e a periodicidade do reajustamento de preços são compatíveis com os padrões de mercado?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55, inciso III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9">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E">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vigência do contrato é por tempo determinado?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F">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57,§ 3º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contrato prevê os prazos de início das etapas de execução, de entrega, de conclusão, de observação (acompanhamento, fiscalização ou monitoramento) e de recebimento definitivo, conforme o caso?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6">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55, inciso IV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caso de ocorrência de prorrogação de prazo, há no processo justificativa por escrito e previamente autorizada pela autoridade competente para celebrar o contrato?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Art.57, §2º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3">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valor da modalidade de licitação é compatível com o valor total do contrato, incluindo o prazo previsto de prorrogação com os seus respectivos termos aditivos?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57,§ 1º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cláusula que define o crédito pelo qual ocorrerá a despesa, com a indicação da classificação funcional programática e da categoria econômica está compatível com o processo que deu origem ao contrato, bem como com o(s) empenho(s) da despesa?</w:t>
            </w:r>
          </w:p>
          <w:p w:rsidR="00000000" w:rsidDel="00000000" w:rsidP="00000000" w:rsidRDefault="00000000" w:rsidRPr="00000000" w14:paraId="0000004B">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Devem-se considerar as questões de apostilamento necessários à manutenção do contrato.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Art.55, inciso 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F">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cláusula dos direitos e das responsabilidades (ou das obrigações entre as partes) estabelece obrigações que condicionem a organização, direção, controle, execução e ou fiscalização do contrato?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Art.55, inciso VII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cláusula de rescisão está de acordo com o artigo 79 da Lei Federal nº 8.666/1993.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Art.55, inciso VIII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60" w:before="6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sz w:val="2"/>
          <w:szCs w:val="2"/>
        </w:rPr>
      </w:pPr>
      <w:r w:rsidDel="00000000" w:rsidR="00000000" w:rsidRPr="00000000">
        <w:br w:type="page"/>
      </w:r>
      <w:r w:rsidDel="00000000" w:rsidR="00000000" w:rsidRPr="00000000">
        <w:rPr>
          <w:rtl w:val="0"/>
        </w:rPr>
      </w:r>
    </w:p>
    <w:tbl>
      <w:tblPr>
        <w:tblStyle w:val="Table2"/>
        <w:tblW w:w="11057.000000000004" w:type="dxa"/>
        <w:jc w:val="left"/>
        <w:tblInd w:w="-572.0" w:type="dxa"/>
        <w:tblLayout w:type="fixed"/>
        <w:tblLook w:val="0000"/>
      </w:tblPr>
      <w:tblGrid>
        <w:gridCol w:w="709"/>
        <w:gridCol w:w="5670"/>
        <w:gridCol w:w="1418"/>
        <w:gridCol w:w="567"/>
        <w:gridCol w:w="567"/>
        <w:gridCol w:w="567"/>
        <w:gridCol w:w="1559"/>
        <w:tblGridChange w:id="0">
          <w:tblGrid>
            <w:gridCol w:w="709"/>
            <w:gridCol w:w="5670"/>
            <w:gridCol w:w="1418"/>
            <w:gridCol w:w="567"/>
            <w:gridCol w:w="567"/>
            <w:gridCol w:w="567"/>
            <w:gridCol w:w="1559"/>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1">
            <w:pPr>
              <w:spacing w:after="60" w:before="6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3">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PROCEDIMENTOS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4">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BASE LEGAL</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5">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6">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7">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8">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9">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Lei Federal n 8.666/1993</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QUANTO Á FORMALIZAÇÃO DO CONTRATO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documento formal de contratação contempla:</w:t>
            </w:r>
          </w:p>
        </w:tc>
        <w:tc>
          <w:tcPr>
            <w:vMerge w:val="restart"/>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7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Art.61, </w:t>
            </w:r>
            <w:r w:rsidDel="00000000" w:rsidR="00000000" w:rsidRPr="00000000">
              <w:rPr>
                <w:rFonts w:ascii="Arial" w:cs="Arial" w:eastAsia="Arial" w:hAnsi="Arial"/>
                <w:i w:val="1"/>
                <w:sz w:val="20"/>
                <w:szCs w:val="20"/>
                <w:rtl w:val="0"/>
              </w:rPr>
              <w:t xml:space="preserve">caput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F">
            <w:pPr>
              <w:spacing w:after="60" w:before="6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os nomes das partes e seus representantes?</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60" w:before="6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a sua finalidade?</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60" w:before="6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o ato que autorizou sua lavratura?</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60" w:before="6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o número do processo, da dispensa ou da inexigibilidade de licitação?</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60" w:before="6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a sujeição dos contratantes às normas da Lei Federal nº 8.666/1993 e suas alterações?</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publicação resumida do contrato na imprensa oficial ocorreu até o quinto dia útil do mês subsequente ao de sua assinatura?</w:t>
            </w:r>
          </w:p>
        </w:tc>
        <w:tc>
          <w:tcPr>
            <w:vMerge w:val="restart"/>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A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Art.61, parágrafo único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publicação resumida dos aditamentos, se houver, ocorreu até o quinto dia útil do mês subsequente ao de sua assinatura?</w:t>
            </w:r>
          </w:p>
          <w:p w:rsidR="00000000" w:rsidDel="00000000" w:rsidP="00000000" w:rsidRDefault="00000000" w:rsidRPr="00000000" w14:paraId="000000AA">
            <w:pPr>
              <w:spacing w:after="60" w:before="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São elementos essenciais do extrato de publicação as partes, o objeto, a classificação ou dotação orçamentária, o valor, a vigência e a data de assinatura do contrato.</w:t>
            </w:r>
          </w:p>
        </w:tc>
        <w:tc>
          <w:tcPr>
            <w:vMerge w:val="continue"/>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E">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60" w:before="60" w:lineRule="auto"/>
              <w:jc w:val="center"/>
              <w:rPr>
                <w:rFonts w:ascii="Arial" w:cs="Arial" w:eastAsia="Arial" w:hAnsi="Arial"/>
                <w:sz w:val="20"/>
                <w:szCs w:val="20"/>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minuta do contrato foi referendada pela Assessoria Jurídica ou Procuradoria Jurídica?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Art.38, parágrafo único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a alteração se der unilateralmente pela Administração, mediante justificativa, esta decorreu da?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modificação do projeto ou das especificações para melhor adequação técnica aos objetivos da Administração?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Art.65, inciso I, alínea “a”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4">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modificação necessária do valor contratual em decorrência de acréscimo ou diminuição quantitativa de seu objeto, nos limites permitidos na Lei Federal 8.666/1993?¹º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inciso I, alínea "b</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a alteração se der por acordo entre as partes, mediante justificativas, esta decorreu de: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conveniência de substituição da garantia de execução?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inciso II, alínea "a"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necessidade de modificação do regime de execução da obra ou serviço, bem como de fornecimento, em face de verificação técnica da inaplicabilidade dos termos contratuais originários?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inciso II, alínea "b"</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30" w:before="30" w:lineRule="auto"/>
              <w:jc w:val="both"/>
              <w:rPr>
                <w:rFonts w:ascii="Neutro-Regular" w:cs="Neutro-Regular" w:eastAsia="Neutro-Regular" w:hAnsi="Neutro-Regular"/>
                <w:sz w:val="28"/>
                <w:szCs w:val="28"/>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necessidade de modificação da forma de pagamento, por imposição de circunstâncias supervenientes, mantido o valor inicial atualizado?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inciso II, alínea "c"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60" w:before="6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8">
      <w:pPr>
        <w:ind w:left="-709"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E9">
      <w:pPr>
        <w:ind w:left="-709" w:firstLine="0"/>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EA">
      <w:pPr>
        <w:jc w:val="right"/>
        <w:rPr>
          <w:rFonts w:ascii="Arial" w:cs="Arial" w:eastAsia="Arial" w:hAnsi="Arial"/>
          <w:sz w:val="2"/>
          <w:szCs w:val="2"/>
        </w:rPr>
      </w:pPr>
      <w:r w:rsidDel="00000000" w:rsidR="00000000" w:rsidRPr="00000000">
        <w:rPr>
          <w:rtl w:val="0"/>
        </w:rPr>
      </w:r>
    </w:p>
    <w:tbl>
      <w:tblPr>
        <w:tblStyle w:val="Table3"/>
        <w:tblW w:w="11057.0" w:type="dxa"/>
        <w:jc w:val="left"/>
        <w:tblInd w:w="-572.0" w:type="dxa"/>
        <w:tblLayout w:type="fixed"/>
        <w:tblLook w:val="0000"/>
      </w:tblPr>
      <w:tblGrid>
        <w:gridCol w:w="709"/>
        <w:gridCol w:w="5528"/>
        <w:gridCol w:w="1560"/>
        <w:gridCol w:w="567"/>
        <w:gridCol w:w="567"/>
        <w:gridCol w:w="567"/>
        <w:gridCol w:w="1559"/>
        <w:tblGridChange w:id="0">
          <w:tblGrid>
            <w:gridCol w:w="709"/>
            <w:gridCol w:w="5528"/>
            <w:gridCol w:w="1560"/>
            <w:gridCol w:w="567"/>
            <w:gridCol w:w="567"/>
            <w:gridCol w:w="567"/>
            <w:gridCol w:w="1559"/>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B">
            <w:pPr>
              <w:spacing w:after="30" w:before="30" w:lineRule="auto"/>
              <w:ind w:hanging="642"/>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C">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PROCEDIMENTOS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D">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BASE LEGAL</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E">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F">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0">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1">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tc>
      </w:tr>
      <w:tr>
        <w:trPr>
          <w:cantSplit w:val="0"/>
          <w:tblHeader w:val="1"/>
        </w:trPr>
        <w:tc>
          <w:tcPr>
            <w:gridSpan w:val="7"/>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2">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Lei Federal n 8.666/1993</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9">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QUANTO À FORMALIZAÇÃO DO CONTRATO</w:t>
            </w:r>
            <w:r w:rsidDel="00000000" w:rsidR="00000000" w:rsidRPr="00000000">
              <w:rPr>
                <w:rFonts w:ascii="Arial" w:cs="Arial" w:eastAsia="Arial" w:hAnsi="Arial"/>
                <w:b w:val="1"/>
                <w:sz w:val="20"/>
                <w:szCs w:val="20"/>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w:t>
            </w:r>
            <w:r w:rsidDel="00000000" w:rsidR="00000000" w:rsidRPr="00000000">
              <w:rPr>
                <w:rFonts w:ascii="Arial" w:cs="Arial" w:eastAsia="Arial" w:hAnsi="Arial"/>
                <w:sz w:val="20"/>
                <w:szCs w:val="20"/>
                <w:rtl w:val="0"/>
              </w:rPr>
              <w:t xml:space="preserve"> restabelecimento da relação em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área econômica extraordinária e extracontratual?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inciso II, alínea "d"</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08">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hipótese de acréscimo quantitativo do objeto contratual, este observou o limite legal (até 25% ou, no caso de particular de reforma de edifício ou de equipamento, até 50% do valor inicial)?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§1º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A">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C">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0F">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caso de diminuição quantitativa do objeto, esta observou o limite correspondente a 25% do valor inicial atualizado do contrato?</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10">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§2º, inciso 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1">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16">
            <w:pPr>
              <w:spacing w:after="30" w:before="3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 hipótese de variação do valor contratual, esta decorreu de reajuste de preços ou atualizações previstas nos dispositivos¹³ contratuais?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65, §1º e §8º c/c CF, art. 37(princípio da economicidade)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B">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1D">
            <w:pPr>
              <w:spacing w:after="30" w:before="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hipótese de alteração de cláusulas econômico-financeiras e monetárias, esta se deu com manifestação prévia de concordância do contratado?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30" w:before="3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REGISTRO NO SAGRES – LICON</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30" w:before="3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RESOLUÇÃO TC Nº 24/2016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Realização o lançamento diretamente no sistema e/ou importação de planilha eletrônica específica, e de documentos, ainda não formalizados no LICON?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3º inciso 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Realização da formalização do ato no sistema que Oficializa o envio ao TCE-PE dos dados e documentos lançados no LICON?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3º inciso 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C">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Realização do envio de dados e documentos através do Aplicativo disponibilizado pelo TCE-PE, adotando-se o layouts, as tabelas internas e regras técnicas?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4º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da alimentação no LICON dos Contratos e Termos Aditivos, decorreu nos prazos?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30" w:before="3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25.1</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E">
            <w:pPr>
              <w:spacing w:after="30" w:before="30" w:lineRule="auto"/>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w:t>
            </w:r>
            <w:r w:rsidDel="00000000" w:rsidR="00000000" w:rsidRPr="00000000">
              <w:rPr>
                <w:rFonts w:ascii="Arial" w:cs="Arial" w:eastAsia="Arial" w:hAnsi="Arial"/>
                <w:sz w:val="20"/>
                <w:szCs w:val="20"/>
                <w:rtl w:val="0"/>
              </w:rPr>
              <w:t xml:space="preserve">No momento para a formalização dos dados e documentos do processos licitatório relativos à instauração e aos instrumentos convocatórios, realização até a data da publicação do edital ou expedição do convite?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30" w:before="3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 inciso 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spacing w:after="30" w:before="3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30" w:before="3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4">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5">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7">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9">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B">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D">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E">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F">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0">
      <w:pPr>
        <w:jc w:val="both"/>
        <w:rPr>
          <w:rFonts w:ascii="Arial" w:cs="Arial" w:eastAsia="Arial" w:hAnsi="Arial"/>
          <w:sz w:val="16"/>
          <w:szCs w:val="16"/>
        </w:rPr>
      </w:pPr>
      <w:bookmarkStart w:colFirst="0" w:colLast="0" w:name="_heading=h.gjdgxs" w:id="0"/>
      <w:bookmarkEnd w:id="0"/>
      <w:r w:rsidDel="00000000" w:rsidR="00000000" w:rsidRPr="00000000">
        <w:rPr>
          <w:rtl w:val="0"/>
        </w:rPr>
      </w:r>
    </w:p>
    <w:tbl>
      <w:tblPr>
        <w:tblStyle w:val="Table4"/>
        <w:tblW w:w="11057.0" w:type="dxa"/>
        <w:jc w:val="left"/>
        <w:tblInd w:w="-572.0" w:type="dxa"/>
        <w:tblLayout w:type="fixed"/>
        <w:tblLook w:val="0000"/>
      </w:tblPr>
      <w:tblGrid>
        <w:gridCol w:w="709"/>
        <w:gridCol w:w="5528"/>
        <w:gridCol w:w="1560"/>
        <w:gridCol w:w="567"/>
        <w:gridCol w:w="567"/>
        <w:gridCol w:w="567"/>
        <w:gridCol w:w="1559"/>
        <w:tblGridChange w:id="0">
          <w:tblGrid>
            <w:gridCol w:w="709"/>
            <w:gridCol w:w="5528"/>
            <w:gridCol w:w="1560"/>
            <w:gridCol w:w="567"/>
            <w:gridCol w:w="567"/>
            <w:gridCol w:w="567"/>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1">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2">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PROCEDIMENTOS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3">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BASE LEGAL</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4">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5">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6">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7">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8">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REGISTRO NO SAGRES - LICON</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F">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RESOLUÇÃO TC Nº 24/2016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25.2</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77">
            <w:pPr>
              <w:jc w:val="both"/>
              <w:rPr>
                <w:rFonts w:ascii="Neutro-Regular" w:cs="Neutro-Regular" w:eastAsia="Neutro-Regular" w:hAnsi="Neutro-Regular"/>
                <w:sz w:val="28"/>
                <w:szCs w:val="28"/>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No momento para a formalização dos dados e documentos relativos ao processo licitatório, realização até 30 (trinta) dias a contar da data da homologação ou ato terminativo da licitação?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 inciso 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B">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25.3</w:t>
            </w:r>
          </w:p>
          <w:p w:rsidR="00000000" w:rsidDel="00000000" w:rsidP="00000000" w:rsidRDefault="00000000" w:rsidRPr="00000000" w14:paraId="0000017E">
            <w:pPr>
              <w:spacing w:after="60" w:before="6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7F">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No momento para a formalização dos dados e documentos relativos ao processo licitatório, realização até 10 (dez) dias após a publicação do extrato de dispensa ou de inexigibilidade na imprensa oficial, nos termos do artigo 26 da Lei 8666/93?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 inciso III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6">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No momento para a formalização dos dados e documentos relativos ao contrato, realização até 10 (dez) dias a contar da data de assinatura do contrato?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87">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 inciso IV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25.5</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8D">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No momento para a formalização dos dados e documentos relativos aos termos aditivos celebrados, realização até 10 (dez) dias após a publicação do extrato?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5º inciso 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da alimentação no LICON, os documentos foram  incluídos no sistema no formato PDF (Portable Document </w:t>
            </w:r>
            <w:r w:rsidDel="00000000" w:rsidR="00000000" w:rsidRPr="00000000">
              <w:rPr>
                <w:rtl w:val="0"/>
              </w:rPr>
              <w:t xml:space="preserve">Format) para?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6º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60" w:before="6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B">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editais e convites de todas as licitações, contendo todos os seus anexos?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6º inciso 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0">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60" w:before="6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2">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atas das sessões de habilitação e de julgamento das propostas das licitações?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3">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6º inciso 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6">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60" w:before="6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9">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w:t>
            </w:r>
            <w:r w:rsidDel="00000000" w:rsidR="00000000" w:rsidRPr="00000000">
              <w:rPr>
                <w:rFonts w:ascii="Arial" w:cs="Arial" w:eastAsia="Arial" w:hAnsi="Arial"/>
                <w:sz w:val="20"/>
                <w:szCs w:val="20"/>
                <w:rtl w:val="0"/>
              </w:rPr>
              <w:t xml:space="preserve"> atas das sessões de habilitação e de julgamento das propostas das licitações?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6º inciso III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C">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60" w:before="6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60" w:before="6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0">
            <w:pPr>
              <w:jc w:val="both"/>
              <w:rPr>
                <w:rFonts w:ascii="Arial" w:cs="Arial" w:eastAsia="Arial" w:hAnsi="Arial"/>
                <w:sz w:val="20"/>
                <w:szCs w:val="20"/>
              </w:rPr>
            </w:pPr>
            <w:r w:rsidDel="00000000" w:rsidR="00000000" w:rsidRPr="00000000">
              <w:rPr>
                <w:rFonts w:ascii="Neutro-Regular" w:cs="Neutro-Regular" w:eastAsia="Neutro-Regular" w:hAnsi="Neutro-Regular"/>
                <w:sz w:val="28"/>
                <w:szCs w:val="28"/>
                <w:rtl w:val="0"/>
              </w:rPr>
              <w:t xml:space="preserve">• </w:t>
            </w:r>
            <w:r w:rsidDel="00000000" w:rsidR="00000000" w:rsidRPr="00000000">
              <w:rPr>
                <w:rFonts w:ascii="Arial" w:cs="Arial" w:eastAsia="Arial" w:hAnsi="Arial"/>
                <w:sz w:val="20"/>
                <w:szCs w:val="20"/>
                <w:rtl w:val="0"/>
              </w:rPr>
              <w:t xml:space="preserve">contratos e termos aditivos celebrados pela unidade contendo todos os seus anexos?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60" w:before="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 6º inciso IV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60" w:before="6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60" w:before="6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8">
      <w:pPr>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Legenda:</w:t>
      </w:r>
    </w:p>
    <w:p w:rsidR="00000000" w:rsidDel="00000000" w:rsidP="00000000" w:rsidRDefault="00000000" w:rsidRPr="00000000" w14:paraId="000001B9">
      <w:pPr>
        <w:jc w:val="both"/>
        <w:rPr>
          <w:rFonts w:ascii="Arial" w:cs="Arial" w:eastAsia="Arial" w:hAnsi="Arial"/>
          <w:sz w:val="16"/>
          <w:szCs w:val="16"/>
        </w:rPr>
      </w:pPr>
      <w:r w:rsidDel="00000000" w:rsidR="00000000" w:rsidRPr="00000000">
        <w:rPr>
          <w:rFonts w:ascii="Arial" w:cs="Arial" w:eastAsia="Arial" w:hAnsi="Arial"/>
          <w:b w:val="1"/>
          <w:sz w:val="16"/>
          <w:szCs w:val="16"/>
          <w:rtl w:val="0"/>
        </w:rPr>
        <w:t xml:space="preserve">S </w:t>
      </w:r>
      <w:r w:rsidDel="00000000" w:rsidR="00000000" w:rsidRPr="00000000">
        <w:rPr>
          <w:rFonts w:ascii="Arial" w:cs="Arial" w:eastAsia="Arial" w:hAnsi="Arial"/>
          <w:sz w:val="16"/>
          <w:szCs w:val="16"/>
          <w:rtl w:val="0"/>
        </w:rPr>
        <w:t xml:space="preserve">– sim;</w:t>
      </w:r>
    </w:p>
    <w:p w:rsidR="00000000" w:rsidDel="00000000" w:rsidP="00000000" w:rsidRDefault="00000000" w:rsidRPr="00000000" w14:paraId="000001BA">
      <w:pPr>
        <w:jc w:val="both"/>
        <w:rPr>
          <w:rFonts w:ascii="Arial" w:cs="Arial" w:eastAsia="Arial" w:hAnsi="Arial"/>
          <w:sz w:val="16"/>
          <w:szCs w:val="16"/>
        </w:rPr>
      </w:pPr>
      <w:r w:rsidDel="00000000" w:rsidR="00000000" w:rsidRPr="00000000">
        <w:rPr>
          <w:rFonts w:ascii="Arial" w:cs="Arial" w:eastAsia="Arial" w:hAnsi="Arial"/>
          <w:b w:val="1"/>
          <w:sz w:val="16"/>
          <w:szCs w:val="16"/>
          <w:rtl w:val="0"/>
        </w:rPr>
        <w:t xml:space="preserve">N</w:t>
      </w:r>
      <w:r w:rsidDel="00000000" w:rsidR="00000000" w:rsidRPr="00000000">
        <w:rPr>
          <w:rFonts w:ascii="Arial" w:cs="Arial" w:eastAsia="Arial" w:hAnsi="Arial"/>
          <w:sz w:val="16"/>
          <w:szCs w:val="16"/>
          <w:rtl w:val="0"/>
        </w:rPr>
        <w:t xml:space="preserve"> – não;</w:t>
      </w:r>
    </w:p>
    <w:p w:rsidR="00000000" w:rsidDel="00000000" w:rsidP="00000000" w:rsidRDefault="00000000" w:rsidRPr="00000000" w14:paraId="000001BB">
      <w:pPr>
        <w:jc w:val="both"/>
        <w:rPr>
          <w:rFonts w:ascii="Arial" w:cs="Arial" w:eastAsia="Arial" w:hAnsi="Arial"/>
          <w:sz w:val="16"/>
          <w:szCs w:val="16"/>
        </w:rPr>
      </w:pPr>
      <w:r w:rsidDel="00000000" w:rsidR="00000000" w:rsidRPr="00000000">
        <w:rPr>
          <w:rFonts w:ascii="Arial" w:cs="Arial" w:eastAsia="Arial" w:hAnsi="Arial"/>
          <w:b w:val="1"/>
          <w:sz w:val="16"/>
          <w:szCs w:val="16"/>
          <w:rtl w:val="0"/>
        </w:rPr>
        <w:t xml:space="preserve">N/A</w:t>
      </w:r>
      <w:r w:rsidDel="00000000" w:rsidR="00000000" w:rsidRPr="00000000">
        <w:rPr>
          <w:rFonts w:ascii="Arial" w:cs="Arial" w:eastAsia="Arial" w:hAnsi="Arial"/>
          <w:sz w:val="16"/>
          <w:szCs w:val="16"/>
          <w:rtl w:val="0"/>
        </w:rPr>
        <w:t xml:space="preserve"> – não se aplica;</w:t>
      </w:r>
    </w:p>
    <w:p w:rsidR="00000000" w:rsidDel="00000000" w:rsidP="00000000" w:rsidRDefault="00000000" w:rsidRPr="00000000" w14:paraId="000001BC">
      <w:pPr>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OBS – Alguma informação necessária</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
          <w:szCs w:val="2"/>
        </w:rPr>
      </w:pPr>
      <w:r w:rsidDel="00000000" w:rsidR="00000000" w:rsidRPr="00000000">
        <w:rPr>
          <w:rtl w:val="0"/>
        </w:rPr>
      </w:r>
    </w:p>
    <w:p w:rsidR="00000000" w:rsidDel="00000000" w:rsidP="00000000" w:rsidRDefault="00000000" w:rsidRPr="00000000" w14:paraId="000001C4">
      <w:pPr>
        <w:rPr>
          <w:rFonts w:ascii="Arial" w:cs="Arial" w:eastAsia="Arial" w:hAnsi="Arial"/>
          <w:sz w:val="2"/>
          <w:szCs w:val="2"/>
        </w:rPr>
      </w:pPr>
      <w:r w:rsidDel="00000000" w:rsidR="00000000" w:rsidRPr="00000000">
        <w:rPr>
          <w:rtl w:val="0"/>
        </w:rPr>
      </w:r>
    </w:p>
    <w:p w:rsidR="00000000" w:rsidDel="00000000" w:rsidP="00000000" w:rsidRDefault="00000000" w:rsidRPr="00000000" w14:paraId="000001C5">
      <w:pPr>
        <w:rPr>
          <w:rFonts w:ascii="Arial" w:cs="Arial" w:eastAsia="Arial" w:hAnsi="Arial"/>
          <w:sz w:val="2"/>
          <w:szCs w:val="2"/>
        </w:rPr>
      </w:pPr>
      <w:r w:rsidDel="00000000" w:rsidR="00000000" w:rsidRPr="00000000">
        <w:rPr>
          <w:rtl w:val="0"/>
        </w:rPr>
      </w:r>
    </w:p>
    <w:p w:rsidR="00000000" w:rsidDel="00000000" w:rsidP="00000000" w:rsidRDefault="00000000" w:rsidRPr="00000000" w14:paraId="000001C6">
      <w:pPr>
        <w:rPr>
          <w:rFonts w:ascii="Arial" w:cs="Arial" w:eastAsia="Arial" w:hAnsi="Arial"/>
          <w:sz w:val="2"/>
          <w:szCs w:val="2"/>
        </w:rPr>
      </w:pPr>
      <w:r w:rsidDel="00000000" w:rsidR="00000000" w:rsidRPr="00000000">
        <w:rPr>
          <w:rtl w:val="0"/>
        </w:rPr>
      </w:r>
    </w:p>
    <w:p w:rsidR="00000000" w:rsidDel="00000000" w:rsidP="00000000" w:rsidRDefault="00000000" w:rsidRPr="00000000" w14:paraId="000001C7">
      <w:pPr>
        <w:rPr>
          <w:rFonts w:ascii="Arial" w:cs="Arial" w:eastAsia="Arial" w:hAnsi="Arial"/>
          <w:sz w:val="2"/>
          <w:szCs w:val="2"/>
        </w:rPr>
      </w:pPr>
      <w:r w:rsidDel="00000000" w:rsidR="00000000" w:rsidRPr="00000000">
        <w:rPr>
          <w:rtl w:val="0"/>
        </w:rPr>
      </w:r>
    </w:p>
    <w:p w:rsidR="00000000" w:rsidDel="00000000" w:rsidP="00000000" w:rsidRDefault="00000000" w:rsidRPr="00000000" w14:paraId="000001C8">
      <w:pPr>
        <w:rPr>
          <w:rFonts w:ascii="Arial" w:cs="Arial" w:eastAsia="Arial" w:hAnsi="Arial"/>
          <w:sz w:val="2"/>
          <w:szCs w:val="2"/>
        </w:rPr>
      </w:pPr>
      <w:r w:rsidDel="00000000" w:rsidR="00000000" w:rsidRPr="00000000">
        <w:rPr>
          <w:rFonts w:ascii="Arial" w:cs="Arial" w:eastAsia="Arial" w:hAnsi="Arial"/>
          <w:sz w:val="2"/>
          <w:szCs w:val="2"/>
          <w:rtl w:val="0"/>
        </w:rPr>
        <w:t xml:space="preserve">PPPPPPPPPPPPPPPPPPPPPPPPPPPPPPPPPPPPPPPPPPP</w:t>
      </w:r>
    </w:p>
    <w:sectPr>
      <w:headerReference r:id="rId7" w:type="default"/>
      <w:footerReference r:id="rId8" w:type="default"/>
      <w:pgSz w:h="16838" w:w="11906" w:orient="portrait"/>
      <w:pgMar w:bottom="851" w:top="851" w:left="1134" w:right="567" w:header="113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Neutro-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Assessoria Especial de Controle Interno da SDEC                                                   Pág: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-63499</wp:posOffset>
              </wp:positionH>
              <wp:positionV relativeFrom="paragraph">
                <wp:posOffset>-33004</wp:posOffset>
              </wp:positionV>
              <wp:extent cx="9761855" cy="76200"/>
              <wp:effectExtent b="0" l="0" r="0" t="0"/>
              <wp:wrapNone/>
              <wp:docPr id="3" name=""/>
              <a:graphic>
                <a:graphicData uri="http://schemas.microsoft.com/office/word/2010/wordprocessingShape">
                  <wps:wsp>
                    <wps:cNvCnPr/>
                    <wps:spPr>
                      <a:xfrm>
                        <a:off x="484123" y="3780000"/>
                        <a:ext cx="9723755" cy="0"/>
                      </a:xfrm>
                      <a:prstGeom prst="straightConnector1">
                        <a:avLst/>
                      </a:prstGeom>
                      <a:noFill/>
                      <a:ln cap="flat" cmpd="sng" w="38100">
                        <a:solidFill>
                          <a:srgbClr val="C0C0C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-63499</wp:posOffset>
              </wp:positionH>
              <wp:positionV relativeFrom="paragraph">
                <wp:posOffset>-33004</wp:posOffset>
              </wp:positionV>
              <wp:extent cx="9761855" cy="7620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761855"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
        <w:szCs w:val="2"/>
      </w:rPr>
    </w:pPr>
    <w:r w:rsidDel="00000000" w:rsidR="00000000" w:rsidRPr="00000000">
      <w:rPr>
        <w:rtl w:val="0"/>
      </w:rPr>
    </w:r>
  </w:p>
  <w:tbl>
    <w:tblPr>
      <w:tblStyle w:val="Table5"/>
      <w:tblW w:w="1105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gridCol w:w="8891"/>
      <w:tblGridChange w:id="0">
        <w:tblGrid>
          <w:gridCol w:w="2166"/>
          <w:gridCol w:w="8891"/>
        </w:tblGrid>
      </w:tblGridChange>
    </w:tblGrid>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13"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-33018</wp:posOffset>
                </wp:positionH>
                <wp:positionV relativeFrom="paragraph">
                  <wp:posOffset>8890</wp:posOffset>
                </wp:positionV>
                <wp:extent cx="1323975" cy="65722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23975" cy="657225"/>
                        </a:xfrm>
                        <a:prstGeom prst="rect"/>
                        <a:ln/>
                      </pic:spPr>
                    </pic:pic>
                  </a:graphicData>
                </a:graphic>
              </wp:anchor>
            </w:drawing>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CB">
          <w:pPr>
            <w:jc w:val="center"/>
            <w:rPr>
              <w:rFonts w:ascii="Neutro-Regular" w:cs="Neutro-Regular" w:eastAsia="Neutro-Regular" w:hAnsi="Neutro-Regular"/>
              <w:sz w:val="32"/>
              <w:szCs w:val="32"/>
            </w:rPr>
          </w:pPr>
          <w:r w:rsidDel="00000000" w:rsidR="00000000" w:rsidRPr="00000000">
            <w:rPr>
              <w:rFonts w:ascii="Arial" w:cs="Arial" w:eastAsia="Arial" w:hAnsi="Arial"/>
              <w:b w:val="1"/>
              <w:rtl w:val="0"/>
            </w:rPr>
            <w:t xml:space="preserve">CHECKLIST  PARA MONITORAMENTO DOS CONTRATOS E TERMOS ADITIVOS  PARA REGISTRO NO SAGRES - LICON</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68" w:right="-68"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jMy0nalAx64mec7U9rgg45SKA==">CgMxLjAyCGguZ2pkZ3hzOAByITFpbkRVektfeWdqNjcyQ2kxaVg5RGpGUDZHaGRoa2VITQ==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